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0938" w14:textId="313EAC19" w:rsidR="00867797" w:rsidRDefault="005B3040" w:rsidP="008677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DB4">
        <w:rPr>
          <w:rStyle w:val="Nadpis1Char"/>
          <w:color w:val="auto"/>
        </w:rPr>
        <w:t>STANOVISKO</w:t>
      </w:r>
      <w:r w:rsidRPr="00C82DB4">
        <w:rPr>
          <w:rStyle w:val="Nadpis1Char"/>
          <w:color w:val="auto"/>
        </w:rPr>
        <w:br/>
      </w:r>
      <w:r w:rsidRPr="00C16518">
        <w:rPr>
          <w:rFonts w:ascii="Times New Roman" w:eastAsia="Times New Roman" w:hAnsi="Times New Roman" w:cs="Times New Roman"/>
          <w:b/>
          <w:bCs/>
          <w:sz w:val="28"/>
          <w:szCs w:val="28"/>
        </w:rPr>
        <w:t>hlavného kontrolóra k návrhu viacročného programového ro</w:t>
      </w:r>
      <w:r w:rsidR="004716DE">
        <w:rPr>
          <w:rFonts w:ascii="Times New Roman" w:eastAsia="Times New Roman" w:hAnsi="Times New Roman" w:cs="Times New Roman"/>
          <w:b/>
          <w:bCs/>
          <w:sz w:val="28"/>
          <w:szCs w:val="28"/>
        </w:rPr>
        <w:t>zpočtu Obce Sihelné na roky 202</w:t>
      </w:r>
      <w:r w:rsidR="002B39B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716DE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2B39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716DE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2B39B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20638E80" w14:textId="77777777" w:rsidR="00CD11FC" w:rsidRPr="00867797" w:rsidRDefault="00CD11FC" w:rsidP="008677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5E8038" w14:textId="52C8B960" w:rsidR="005B3040" w:rsidRPr="00CC0808" w:rsidRDefault="005B3040" w:rsidP="006B7E3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 xml:space="preserve">V súlade s ustanovením  § 18f ods. 1 písm. c) zákona č. 369/1992 Zb. o obecnom zriadení predkladám odborné stanovisko k návrhu rozpočtu obce Sihelné na </w:t>
      </w:r>
      <w:r w:rsidR="004716DE">
        <w:rPr>
          <w:rFonts w:ascii="Times New Roman" w:hAnsi="Times New Roman" w:cs="Times New Roman"/>
          <w:sz w:val="24"/>
          <w:szCs w:val="24"/>
        </w:rPr>
        <w:t>obdobie rokov 202</w:t>
      </w:r>
      <w:r w:rsidR="002B39BD">
        <w:rPr>
          <w:rFonts w:ascii="Times New Roman" w:hAnsi="Times New Roman" w:cs="Times New Roman"/>
          <w:sz w:val="24"/>
          <w:szCs w:val="24"/>
        </w:rPr>
        <w:t>4</w:t>
      </w:r>
      <w:r w:rsidR="004716DE">
        <w:rPr>
          <w:rFonts w:ascii="Times New Roman" w:hAnsi="Times New Roman" w:cs="Times New Roman"/>
          <w:sz w:val="24"/>
          <w:szCs w:val="24"/>
        </w:rPr>
        <w:t>-202</w:t>
      </w:r>
      <w:r w:rsidR="002B39BD">
        <w:rPr>
          <w:rFonts w:ascii="Times New Roman" w:hAnsi="Times New Roman" w:cs="Times New Roman"/>
          <w:sz w:val="24"/>
          <w:szCs w:val="24"/>
        </w:rPr>
        <w:t>5</w:t>
      </w:r>
      <w:r w:rsidR="004716DE">
        <w:rPr>
          <w:rFonts w:ascii="Times New Roman" w:hAnsi="Times New Roman" w:cs="Times New Roman"/>
          <w:sz w:val="24"/>
          <w:szCs w:val="24"/>
        </w:rPr>
        <w:t>-202</w:t>
      </w:r>
      <w:r w:rsidR="002B39BD">
        <w:rPr>
          <w:rFonts w:ascii="Times New Roman" w:hAnsi="Times New Roman" w:cs="Times New Roman"/>
          <w:sz w:val="24"/>
          <w:szCs w:val="24"/>
        </w:rPr>
        <w:t>6</w:t>
      </w:r>
      <w:r w:rsidR="00142C5C" w:rsidRPr="00CC0808">
        <w:rPr>
          <w:rFonts w:ascii="Times New Roman" w:hAnsi="Times New Roman" w:cs="Times New Roman"/>
          <w:sz w:val="24"/>
          <w:szCs w:val="24"/>
        </w:rPr>
        <w:t xml:space="preserve">. </w:t>
      </w:r>
      <w:r w:rsidRPr="00CC0808">
        <w:rPr>
          <w:rFonts w:ascii="Times New Roman" w:hAnsi="Times New Roman" w:cs="Times New Roman"/>
          <w:sz w:val="24"/>
          <w:szCs w:val="24"/>
        </w:rPr>
        <w:t>Stanovisko vychádza z posudzovania rozpočtu vo vzťahu k príslušným zákonom, či vlastným zásadám obce Sihelné pri zostavovaní a spracovaní údajov pre zostavovanie rozpočtu.</w:t>
      </w:r>
    </w:p>
    <w:p w14:paraId="1269B545" w14:textId="77777777" w:rsidR="00593982" w:rsidRDefault="00B80A7E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 xml:space="preserve">A. VÝCHODISKÁ SPRACOVANIA ODBORNÉHO STANOVISKA </w:t>
      </w:r>
      <w:r w:rsidR="0001216A"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7C5BD222" w14:textId="193E8F26" w:rsidR="004D1AD0" w:rsidRPr="00CC0808" w:rsidRDefault="00B80A7E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Pri spracovaní odborného stanoviska som vychádzal</w:t>
      </w:r>
      <w:r w:rsidR="00EC6FE6" w:rsidRPr="00CC0808">
        <w:rPr>
          <w:rFonts w:ascii="Times New Roman" w:hAnsi="Times New Roman" w:cs="Times New Roman"/>
          <w:sz w:val="24"/>
          <w:szCs w:val="24"/>
        </w:rPr>
        <w:t>a</w:t>
      </w:r>
      <w:r w:rsidRPr="00CC0808">
        <w:rPr>
          <w:rFonts w:ascii="Times New Roman" w:hAnsi="Times New Roman" w:cs="Times New Roman"/>
          <w:sz w:val="24"/>
          <w:szCs w:val="24"/>
        </w:rPr>
        <w:t xml:space="preserve"> z posúdenia predloženého návrhu rozpočtu </w:t>
      </w:r>
      <w:r w:rsidR="004716DE">
        <w:rPr>
          <w:rFonts w:ascii="Times New Roman" w:hAnsi="Times New Roman" w:cs="Times New Roman"/>
          <w:sz w:val="24"/>
          <w:szCs w:val="24"/>
        </w:rPr>
        <w:t>obce Sihelné na rok 202</w:t>
      </w:r>
      <w:r w:rsidR="002B39BD">
        <w:rPr>
          <w:rFonts w:ascii="Times New Roman" w:hAnsi="Times New Roman" w:cs="Times New Roman"/>
          <w:sz w:val="24"/>
          <w:szCs w:val="24"/>
        </w:rPr>
        <w:t>4</w:t>
      </w:r>
      <w:r w:rsidR="004341C0">
        <w:rPr>
          <w:rFonts w:ascii="Times New Roman" w:hAnsi="Times New Roman" w:cs="Times New Roman"/>
          <w:sz w:val="24"/>
          <w:szCs w:val="24"/>
        </w:rPr>
        <w:t xml:space="preserve"> </w:t>
      </w:r>
      <w:r w:rsidR="004D1AD0" w:rsidRPr="00CC0808">
        <w:rPr>
          <w:rFonts w:ascii="Times New Roman" w:hAnsi="Times New Roman" w:cs="Times New Roman"/>
          <w:sz w:val="24"/>
          <w:szCs w:val="24"/>
        </w:rPr>
        <w:t>a viacročného pr</w:t>
      </w:r>
      <w:r w:rsidR="004716DE">
        <w:rPr>
          <w:rFonts w:ascii="Times New Roman" w:hAnsi="Times New Roman" w:cs="Times New Roman"/>
          <w:sz w:val="24"/>
          <w:szCs w:val="24"/>
        </w:rPr>
        <w:t>ogramového rozpočtu na roky 202</w:t>
      </w:r>
      <w:r w:rsidR="002B39BD">
        <w:rPr>
          <w:rFonts w:ascii="Times New Roman" w:hAnsi="Times New Roman" w:cs="Times New Roman"/>
          <w:sz w:val="24"/>
          <w:szCs w:val="24"/>
        </w:rPr>
        <w:t>5</w:t>
      </w:r>
      <w:r w:rsidR="004716DE">
        <w:rPr>
          <w:rFonts w:ascii="Times New Roman" w:hAnsi="Times New Roman" w:cs="Times New Roman"/>
          <w:sz w:val="24"/>
          <w:szCs w:val="24"/>
        </w:rPr>
        <w:t xml:space="preserve"> – 202</w:t>
      </w:r>
      <w:r w:rsidR="002B39BD">
        <w:rPr>
          <w:rFonts w:ascii="Times New Roman" w:hAnsi="Times New Roman" w:cs="Times New Roman"/>
          <w:sz w:val="24"/>
          <w:szCs w:val="24"/>
        </w:rPr>
        <w:t>6</w:t>
      </w:r>
      <w:r w:rsidR="004D1AD0"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Pr="00CC0808">
        <w:rPr>
          <w:rFonts w:ascii="Times New Roman" w:hAnsi="Times New Roman" w:cs="Times New Roman"/>
          <w:sz w:val="24"/>
          <w:szCs w:val="24"/>
        </w:rPr>
        <w:t>z dvoch hľadísk:</w:t>
      </w:r>
    </w:p>
    <w:p w14:paraId="699959C9" w14:textId="77777777" w:rsidR="004D1AD0" w:rsidRPr="00CC0808" w:rsidRDefault="00B80A7E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 xml:space="preserve">1. Zákonnosť predloženého návrhu rozpočtu </w:t>
      </w:r>
    </w:p>
    <w:p w14:paraId="3B16628A" w14:textId="77777777" w:rsidR="004D1AD0" w:rsidRPr="00CC0808" w:rsidRDefault="00B80A7E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>1.1. Súlad so všeobecne záväznými právnymi predpismi</w:t>
      </w:r>
      <w:r w:rsidR="00532A2A"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4D1AD0" w:rsidRPr="00CC0808">
        <w:rPr>
          <w:rFonts w:ascii="Times New Roman" w:hAnsi="Times New Roman" w:cs="Times New Roman"/>
          <w:sz w:val="24"/>
          <w:szCs w:val="24"/>
        </w:rPr>
        <w:t xml:space="preserve">Návrh rozpočtu bol spracovaný v súlade so zákonom č. 523/2004 Z. z. o rozpočtových pravidlách verejnej správy a o zmene a doplnení niektorých zákonov v </w:t>
      </w:r>
      <w:proofErr w:type="spellStart"/>
      <w:r w:rsidR="004D1AD0" w:rsidRPr="00CC0808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4D1AD0" w:rsidRPr="00CC0808">
        <w:rPr>
          <w:rFonts w:ascii="Times New Roman" w:hAnsi="Times New Roman" w:cs="Times New Roman"/>
          <w:sz w:val="24"/>
          <w:szCs w:val="24"/>
        </w:rPr>
        <w:t xml:space="preserve">. a zákona č. 583/2004 Z. z. o rozpočtových pravidlách územnej samosprávy a o zmene a doplnení niektorých zákonov v </w:t>
      </w:r>
      <w:proofErr w:type="spellStart"/>
      <w:r w:rsidR="004D1AD0" w:rsidRPr="00CC0808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4D1AD0" w:rsidRPr="00CC0808">
        <w:rPr>
          <w:rFonts w:ascii="Times New Roman" w:hAnsi="Times New Roman" w:cs="Times New Roman"/>
          <w:sz w:val="24"/>
          <w:szCs w:val="24"/>
        </w:rPr>
        <w:t>.</w:t>
      </w:r>
    </w:p>
    <w:p w14:paraId="64CF1EE6" w14:textId="77777777" w:rsidR="002862AA" w:rsidRPr="00CC0808" w:rsidRDefault="004D1AD0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 xml:space="preserve">Návrh rozpočtu zohľadňuje aj ustanovenia zákonov: </w:t>
      </w:r>
      <w:r w:rsidR="00532A2A"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2862AA" w:rsidRPr="00CC0808">
        <w:rPr>
          <w:rFonts w:ascii="Times New Roman" w:hAnsi="Times New Roman" w:cs="Times New Roman"/>
          <w:sz w:val="24"/>
          <w:szCs w:val="24"/>
        </w:rPr>
        <w:t xml:space="preserve">• zákon č. 431/2002 Z. z. o účtovníctve v znení neskorších predpisov, 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862AA" w:rsidRPr="00CC0808">
        <w:rPr>
          <w:rFonts w:ascii="Times New Roman" w:hAnsi="Times New Roman" w:cs="Times New Roman"/>
          <w:sz w:val="24"/>
          <w:szCs w:val="24"/>
        </w:rPr>
        <w:t>•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2862AA" w:rsidRPr="00CC0808">
        <w:rPr>
          <w:rFonts w:ascii="Times New Roman" w:hAnsi="Times New Roman" w:cs="Times New Roman"/>
          <w:sz w:val="24"/>
          <w:szCs w:val="24"/>
        </w:rPr>
        <w:t xml:space="preserve">zákon č. 582/2004 Z. z. o miestnych daniach a miestnom poplatku za komunálny odpad a drobné stavebné odpady v </w:t>
      </w:r>
      <w:proofErr w:type="spellStart"/>
      <w:r w:rsidR="002862AA" w:rsidRPr="00CC0808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2862AA" w:rsidRPr="00CC0808">
        <w:rPr>
          <w:rFonts w:ascii="Times New Roman" w:hAnsi="Times New Roman" w:cs="Times New Roman"/>
          <w:sz w:val="24"/>
          <w:szCs w:val="24"/>
        </w:rPr>
        <w:t xml:space="preserve">., na základe ktorého v súlade s § 2 ods. 3 predmetného zákona bolo vydané Všeobecne záväzné nariadenie obce o miestnych daniach a miestnom poplatku za komunálne odpady a drobné stavebné odpady (ďalej len VZN).                                                                                                                            • zákon č. 595/2003 Z. z. o dani z príjmov v znení neskorších predpisov 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                                               • </w:t>
      </w:r>
      <w:r w:rsidR="002862AA" w:rsidRPr="00CC0808">
        <w:rPr>
          <w:rFonts w:ascii="Times New Roman" w:hAnsi="Times New Roman" w:cs="Times New Roman"/>
          <w:sz w:val="24"/>
          <w:szCs w:val="24"/>
        </w:rPr>
        <w:t xml:space="preserve">zákon č. 564/2004 Z. z. o rozpočtovom určení výnosu dane z príjmov územnej samospráve a o zmene a doplnení niektorých zákonov v </w:t>
      </w:r>
      <w:proofErr w:type="spellStart"/>
      <w:r w:rsidR="002862AA" w:rsidRPr="00CC0808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2862AA" w:rsidRPr="00CC0808">
        <w:rPr>
          <w:rFonts w:ascii="Times New Roman" w:hAnsi="Times New Roman" w:cs="Times New Roman"/>
          <w:sz w:val="24"/>
          <w:szCs w:val="24"/>
        </w:rPr>
        <w:t xml:space="preserve">., na základe ktorého v súlade s § 3 predmetného zákona výnos dane z príjmov fyzických osôb je v príslušnom rozpočtovom roku príjmom rozpočtov obcí  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862AA" w:rsidRPr="00CC0808">
        <w:rPr>
          <w:rFonts w:ascii="Times New Roman" w:hAnsi="Times New Roman" w:cs="Times New Roman"/>
          <w:sz w:val="24"/>
          <w:szCs w:val="24"/>
        </w:rPr>
        <w:t>• zákon č. 597/2003 Z. z. o financovaní základných škôl, stredných škôl a školských zariadení v z. n. p.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862AA" w:rsidRPr="00CC0808">
        <w:rPr>
          <w:rFonts w:ascii="Times New Roman" w:hAnsi="Times New Roman" w:cs="Times New Roman"/>
          <w:sz w:val="24"/>
          <w:szCs w:val="24"/>
        </w:rPr>
        <w:t xml:space="preserve"> • zákon č. 493/2011 Z. z. o rozpočtovej zodpovednosti. 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862AA" w:rsidRPr="00CC0808">
        <w:rPr>
          <w:rFonts w:ascii="Times New Roman" w:hAnsi="Times New Roman" w:cs="Times New Roman"/>
          <w:sz w:val="24"/>
          <w:szCs w:val="24"/>
        </w:rPr>
        <w:t>• ostatné súvisiace právne normy.</w:t>
      </w:r>
    </w:p>
    <w:p w14:paraId="78E1446E" w14:textId="7735C398" w:rsidR="00B063CE" w:rsidRPr="00CC0808" w:rsidRDefault="00B063CE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>1.2. Dodržanie informačnej povinnosti zo strany obce</w:t>
      </w:r>
      <w:r w:rsidR="00532A2A"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CC0808">
        <w:rPr>
          <w:rFonts w:ascii="Times New Roman" w:hAnsi="Times New Roman" w:cs="Times New Roman"/>
          <w:sz w:val="24"/>
          <w:szCs w:val="24"/>
        </w:rPr>
        <w:t>Návrh rozpočtu bol v zákonom stanovenej lehote, v súlade s § 9 ods. 2 zákona č. 369/1990 Zb. o obecnom zriadení v z. n. p., zverejnený na úradnej tabuli obce Sihelné a na webovej stránke ob</w:t>
      </w:r>
      <w:r w:rsidR="004716DE">
        <w:rPr>
          <w:rFonts w:ascii="Times New Roman" w:hAnsi="Times New Roman" w:cs="Times New Roman"/>
          <w:sz w:val="24"/>
          <w:szCs w:val="24"/>
        </w:rPr>
        <w:t xml:space="preserve">ce Sihelné dňa </w:t>
      </w:r>
      <w:r w:rsidR="00477F0C" w:rsidRPr="00432216">
        <w:rPr>
          <w:rFonts w:ascii="Times New Roman" w:hAnsi="Times New Roman" w:cs="Times New Roman"/>
          <w:sz w:val="24"/>
          <w:szCs w:val="24"/>
        </w:rPr>
        <w:t>1</w:t>
      </w:r>
      <w:r w:rsidR="006C5BA2">
        <w:rPr>
          <w:rFonts w:ascii="Times New Roman" w:hAnsi="Times New Roman" w:cs="Times New Roman"/>
          <w:sz w:val="24"/>
          <w:szCs w:val="24"/>
        </w:rPr>
        <w:t>8.</w:t>
      </w:r>
      <w:r w:rsidR="004716DE" w:rsidRPr="00432216">
        <w:rPr>
          <w:rFonts w:ascii="Times New Roman" w:hAnsi="Times New Roman" w:cs="Times New Roman"/>
          <w:sz w:val="24"/>
          <w:szCs w:val="24"/>
        </w:rPr>
        <w:t xml:space="preserve"> 1</w:t>
      </w:r>
      <w:r w:rsidR="00477F0C" w:rsidRPr="00432216">
        <w:rPr>
          <w:rFonts w:ascii="Times New Roman" w:hAnsi="Times New Roman" w:cs="Times New Roman"/>
          <w:sz w:val="24"/>
          <w:szCs w:val="24"/>
        </w:rPr>
        <w:t>1</w:t>
      </w:r>
      <w:r w:rsidR="004716DE" w:rsidRPr="00432216">
        <w:rPr>
          <w:rFonts w:ascii="Times New Roman" w:hAnsi="Times New Roman" w:cs="Times New Roman"/>
          <w:sz w:val="24"/>
          <w:szCs w:val="24"/>
        </w:rPr>
        <w:t>. 202</w:t>
      </w:r>
      <w:r w:rsidR="002B39BD">
        <w:rPr>
          <w:rFonts w:ascii="Times New Roman" w:hAnsi="Times New Roman" w:cs="Times New Roman"/>
          <w:sz w:val="24"/>
          <w:szCs w:val="24"/>
        </w:rPr>
        <w:t>3</w:t>
      </w:r>
      <w:r w:rsidRPr="00CC0808">
        <w:rPr>
          <w:rFonts w:ascii="Times New Roman" w:hAnsi="Times New Roman" w:cs="Times New Roman"/>
          <w:sz w:val="24"/>
          <w:szCs w:val="24"/>
        </w:rPr>
        <w:t>, t. j. 15 dní pred jeho schválením.</w:t>
      </w:r>
    </w:p>
    <w:p w14:paraId="750B18DC" w14:textId="5A166631" w:rsidR="00B063CE" w:rsidRPr="00CC0808" w:rsidRDefault="00B063CE" w:rsidP="006B7E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>2. Metodická správnosť predloženého návrhu rozpočtu</w:t>
      </w:r>
      <w:r w:rsidR="00532A2A"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7E5D64">
        <w:rPr>
          <w:rFonts w:ascii="Times New Roman" w:hAnsi="Times New Roman" w:cs="Times New Roman"/>
          <w:sz w:val="24"/>
          <w:szCs w:val="24"/>
        </w:rPr>
        <w:t>Návrh rozpočtu na rok 202</w:t>
      </w:r>
      <w:r w:rsidR="002B39BD">
        <w:rPr>
          <w:rFonts w:ascii="Times New Roman" w:hAnsi="Times New Roman" w:cs="Times New Roman"/>
          <w:sz w:val="24"/>
          <w:szCs w:val="24"/>
        </w:rPr>
        <w:t>3</w:t>
      </w:r>
      <w:r w:rsidR="006B7E37" w:rsidRPr="00CC0808">
        <w:rPr>
          <w:rFonts w:ascii="Times New Roman" w:hAnsi="Times New Roman" w:cs="Times New Roman"/>
          <w:sz w:val="24"/>
          <w:szCs w:val="24"/>
        </w:rPr>
        <w:t xml:space="preserve"> zohľadňuje príslušné ustanovenia Čl. 9 ods. 1 ústavného zákona 493/2011 </w:t>
      </w:r>
      <w:proofErr w:type="spellStart"/>
      <w:r w:rsidR="006B7E37" w:rsidRPr="00CC080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B7E37" w:rsidRPr="00CC0808">
        <w:rPr>
          <w:rFonts w:ascii="Times New Roman" w:hAnsi="Times New Roman" w:cs="Times New Roman"/>
          <w:sz w:val="24"/>
          <w:szCs w:val="24"/>
        </w:rPr>
        <w:t xml:space="preserve">. o rozpočtovej zodpovednosti, nakoľko predložený návrh rozpočtu obsahuje rozpočet bežného rozpočtového roka, údaje o skutočnom plnení rozpočtu za predchádzajúce dva roky, údaje očakávanej skutočnosti bežného rozpočtového roka. Predkladateľ v časti očakávanej skutočnosti bežného rozpočtového roku vychádzal z údajov schválenej poslednej </w:t>
      </w:r>
      <w:r w:rsidR="006B7E37" w:rsidRPr="00CC0808">
        <w:rPr>
          <w:rFonts w:ascii="Times New Roman" w:hAnsi="Times New Roman" w:cs="Times New Roman"/>
          <w:sz w:val="24"/>
          <w:szCs w:val="24"/>
        </w:rPr>
        <w:lastRenderedPageBreak/>
        <w:t xml:space="preserve">zmeny rozpočtu zohľadnil predpokladané príjmy a výdavky do konca rozpočtového roka. </w:t>
      </w:r>
      <w:r w:rsidRPr="00CC0808">
        <w:rPr>
          <w:rFonts w:ascii="Times New Roman" w:hAnsi="Times New Roman" w:cs="Times New Roman"/>
          <w:sz w:val="24"/>
          <w:szCs w:val="24"/>
        </w:rPr>
        <w:t>Návrh rozpočtu je spracovaný v zmysle opatrenia MF SR č. MF/010175/2004-42 v znení neskorších predpisov, ktorým sa stanovuje druhová klasifikácia, organizačná a ekonomická klasifikácia.</w:t>
      </w:r>
    </w:p>
    <w:p w14:paraId="45C59526" w14:textId="77777777" w:rsidR="00593982" w:rsidRDefault="00EC6FE6" w:rsidP="002A3E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>B. VÝCHODISKÁ TVORBY NÁVRHU ROZPOČTU</w:t>
      </w:r>
      <w:r w:rsidR="003E692F"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47F7BBEE" w14:textId="18EB4519" w:rsidR="002A3E95" w:rsidRPr="008C31DB" w:rsidRDefault="002A3E95" w:rsidP="002A3E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 xml:space="preserve">Návrh rozpočtu je spracovaný v súlade s príslušnými ustanoveniami zákona č. 583/2004 Z. z. ako viacročný </w:t>
      </w:r>
      <w:r w:rsidR="008C31DB">
        <w:rPr>
          <w:rFonts w:ascii="Times New Roman" w:hAnsi="Times New Roman" w:cs="Times New Roman"/>
          <w:sz w:val="24"/>
          <w:szCs w:val="24"/>
        </w:rPr>
        <w:t>programový rozpočet na roky 202</w:t>
      </w:r>
      <w:r w:rsidR="002B39BD">
        <w:rPr>
          <w:rFonts w:ascii="Times New Roman" w:hAnsi="Times New Roman" w:cs="Times New Roman"/>
          <w:sz w:val="24"/>
          <w:szCs w:val="24"/>
        </w:rPr>
        <w:t>4</w:t>
      </w:r>
      <w:r w:rsidR="008C31DB">
        <w:rPr>
          <w:rFonts w:ascii="Times New Roman" w:hAnsi="Times New Roman" w:cs="Times New Roman"/>
          <w:sz w:val="24"/>
          <w:szCs w:val="24"/>
        </w:rPr>
        <w:t>-202</w:t>
      </w:r>
      <w:r w:rsidR="002B39BD">
        <w:rPr>
          <w:rFonts w:ascii="Times New Roman" w:hAnsi="Times New Roman" w:cs="Times New Roman"/>
          <w:sz w:val="24"/>
          <w:szCs w:val="24"/>
        </w:rPr>
        <w:t>6</w:t>
      </w:r>
      <w:r w:rsidRPr="00CC0808">
        <w:rPr>
          <w:rFonts w:ascii="Times New Roman" w:hAnsi="Times New Roman" w:cs="Times New Roman"/>
          <w:sz w:val="24"/>
          <w:szCs w:val="24"/>
        </w:rPr>
        <w:t>.</w:t>
      </w:r>
      <w:r w:rsidRPr="00CC0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CC0808">
        <w:rPr>
          <w:rFonts w:ascii="Times New Roman" w:hAnsi="Times New Roman" w:cs="Times New Roman"/>
          <w:sz w:val="24"/>
          <w:szCs w:val="24"/>
        </w:rPr>
        <w:t xml:space="preserve">V súlade s § 9 zákona č. 583/2004 Z. z. návrh viacročného rozpočtu tvoria:                                          </w:t>
      </w:r>
      <w:r w:rsidR="004716DE">
        <w:rPr>
          <w:rFonts w:ascii="Times New Roman" w:hAnsi="Times New Roman" w:cs="Times New Roman"/>
          <w:sz w:val="24"/>
          <w:szCs w:val="24"/>
        </w:rPr>
        <w:t xml:space="preserve">         a) rozpočet na rok 202</w:t>
      </w:r>
      <w:r w:rsidR="002B39BD">
        <w:rPr>
          <w:rFonts w:ascii="Times New Roman" w:hAnsi="Times New Roman" w:cs="Times New Roman"/>
          <w:sz w:val="24"/>
          <w:szCs w:val="24"/>
        </w:rPr>
        <w:t>4</w:t>
      </w:r>
      <w:r w:rsidRPr="00CC0808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                           b) rozpočet na rok nasledujúci po príslušnom rozpočt</w:t>
      </w:r>
      <w:r w:rsidR="004716DE">
        <w:rPr>
          <w:rFonts w:ascii="Times New Roman" w:hAnsi="Times New Roman" w:cs="Times New Roman"/>
          <w:sz w:val="24"/>
          <w:szCs w:val="24"/>
        </w:rPr>
        <w:t>ovom roku 202</w:t>
      </w:r>
      <w:r w:rsidR="002B39BD">
        <w:rPr>
          <w:rFonts w:ascii="Times New Roman" w:hAnsi="Times New Roman" w:cs="Times New Roman"/>
          <w:sz w:val="24"/>
          <w:szCs w:val="24"/>
        </w:rPr>
        <w:t>5</w:t>
      </w:r>
      <w:r w:rsidRPr="00CC0808">
        <w:rPr>
          <w:rFonts w:ascii="Times New Roman" w:hAnsi="Times New Roman" w:cs="Times New Roman"/>
          <w:sz w:val="24"/>
          <w:szCs w:val="24"/>
        </w:rPr>
        <w:t xml:space="preserve">,                                             c) rozpočet na rok nasledujúci po roku, na ktorý </w:t>
      </w:r>
      <w:r w:rsidR="008C31DB">
        <w:rPr>
          <w:rFonts w:ascii="Times New Roman" w:hAnsi="Times New Roman" w:cs="Times New Roman"/>
          <w:sz w:val="24"/>
          <w:szCs w:val="24"/>
        </w:rPr>
        <w:t xml:space="preserve">sa zostavuje rozpočet                                             </w:t>
      </w:r>
      <w:r w:rsidRPr="00CC0808">
        <w:rPr>
          <w:rFonts w:ascii="Times New Roman" w:hAnsi="Times New Roman" w:cs="Times New Roman"/>
          <w:sz w:val="24"/>
          <w:szCs w:val="24"/>
        </w:rPr>
        <w:t>Záväzným rozpočtom je rozpočet obce na prísluš</w:t>
      </w:r>
      <w:r w:rsidR="004341C0">
        <w:rPr>
          <w:rFonts w:ascii="Times New Roman" w:hAnsi="Times New Roman" w:cs="Times New Roman"/>
          <w:sz w:val="24"/>
          <w:szCs w:val="24"/>
        </w:rPr>
        <w:t>ný rozpočtový rok, t.</w:t>
      </w:r>
      <w:r w:rsidR="008C31DB">
        <w:rPr>
          <w:rFonts w:ascii="Times New Roman" w:hAnsi="Times New Roman" w:cs="Times New Roman"/>
          <w:sz w:val="24"/>
          <w:szCs w:val="24"/>
        </w:rPr>
        <w:t xml:space="preserve"> </w:t>
      </w:r>
      <w:r w:rsidR="004716DE">
        <w:rPr>
          <w:rFonts w:ascii="Times New Roman" w:hAnsi="Times New Roman" w:cs="Times New Roman"/>
          <w:sz w:val="24"/>
          <w:szCs w:val="24"/>
        </w:rPr>
        <w:t>j. rok 202</w:t>
      </w:r>
      <w:r w:rsidR="002B39BD">
        <w:rPr>
          <w:rFonts w:ascii="Times New Roman" w:hAnsi="Times New Roman" w:cs="Times New Roman"/>
          <w:sz w:val="24"/>
          <w:szCs w:val="24"/>
        </w:rPr>
        <w:t>4</w:t>
      </w:r>
      <w:r w:rsidRPr="00CC0808">
        <w:rPr>
          <w:rFonts w:ascii="Times New Roman" w:hAnsi="Times New Roman" w:cs="Times New Roman"/>
          <w:sz w:val="24"/>
          <w:szCs w:val="24"/>
        </w:rPr>
        <w:t>, pričom rozpočet na nasledujúce dva rozpočtové roky</w:t>
      </w:r>
      <w:r w:rsidR="004716DE">
        <w:rPr>
          <w:rFonts w:ascii="Times New Roman" w:hAnsi="Times New Roman" w:cs="Times New Roman"/>
          <w:sz w:val="24"/>
          <w:szCs w:val="24"/>
        </w:rPr>
        <w:t xml:space="preserve"> 202</w:t>
      </w:r>
      <w:r w:rsidR="002B39BD">
        <w:rPr>
          <w:rFonts w:ascii="Times New Roman" w:hAnsi="Times New Roman" w:cs="Times New Roman"/>
          <w:sz w:val="24"/>
          <w:szCs w:val="24"/>
        </w:rPr>
        <w:t>5</w:t>
      </w:r>
      <w:r w:rsidR="004716DE">
        <w:rPr>
          <w:rFonts w:ascii="Times New Roman" w:hAnsi="Times New Roman" w:cs="Times New Roman"/>
          <w:sz w:val="24"/>
          <w:szCs w:val="24"/>
        </w:rPr>
        <w:t xml:space="preserve"> a 202</w:t>
      </w:r>
      <w:r w:rsidR="002B39BD">
        <w:rPr>
          <w:rFonts w:ascii="Times New Roman" w:hAnsi="Times New Roman" w:cs="Times New Roman"/>
          <w:sz w:val="24"/>
          <w:szCs w:val="24"/>
        </w:rPr>
        <w:t>6</w:t>
      </w:r>
      <w:r w:rsidR="00D61B8A">
        <w:rPr>
          <w:rFonts w:ascii="Times New Roman" w:hAnsi="Times New Roman" w:cs="Times New Roman"/>
          <w:sz w:val="24"/>
          <w:szCs w:val="24"/>
        </w:rPr>
        <w:t xml:space="preserve"> je navýšený o 5</w:t>
      </w:r>
      <w:bookmarkStart w:id="0" w:name="_Hlk118878786"/>
      <w:r w:rsidR="00D61B8A">
        <w:rPr>
          <w:rFonts w:ascii="Times New Roman" w:hAnsi="Times New Roman" w:cs="Times New Roman"/>
          <w:sz w:val="24"/>
          <w:szCs w:val="24"/>
        </w:rPr>
        <w:t>%</w:t>
      </w:r>
      <w:bookmarkEnd w:id="0"/>
      <w:r w:rsidR="00D61B8A">
        <w:rPr>
          <w:rFonts w:ascii="Times New Roman" w:hAnsi="Times New Roman" w:cs="Times New Roman"/>
          <w:sz w:val="24"/>
          <w:szCs w:val="24"/>
        </w:rPr>
        <w:t xml:space="preserve"> , </w:t>
      </w:r>
      <w:r w:rsidRPr="00CC0808">
        <w:rPr>
          <w:rFonts w:ascii="Times New Roman" w:hAnsi="Times New Roman" w:cs="Times New Roman"/>
          <w:sz w:val="24"/>
          <w:szCs w:val="24"/>
        </w:rPr>
        <w:t xml:space="preserve">orientačný a bude sa spresňovať v ďalšom rozpočtovom roku. Návrh rozpočtu vychádza z doporučených východísk rozpočtu verejnej správy, z vývoja hospodárenia </w:t>
      </w:r>
      <w:r w:rsidR="004716DE">
        <w:rPr>
          <w:rFonts w:ascii="Times New Roman" w:hAnsi="Times New Roman" w:cs="Times New Roman"/>
          <w:sz w:val="24"/>
          <w:szCs w:val="24"/>
        </w:rPr>
        <w:t>obce z roku 202</w:t>
      </w:r>
      <w:r w:rsidR="0026339F">
        <w:rPr>
          <w:rFonts w:ascii="Times New Roman" w:hAnsi="Times New Roman" w:cs="Times New Roman"/>
          <w:sz w:val="24"/>
          <w:szCs w:val="24"/>
        </w:rPr>
        <w:t>2</w:t>
      </w:r>
      <w:r w:rsidRPr="00CC0808">
        <w:rPr>
          <w:rFonts w:ascii="Times New Roman" w:hAnsi="Times New Roman" w:cs="Times New Roman"/>
          <w:sz w:val="24"/>
          <w:szCs w:val="24"/>
        </w:rPr>
        <w:t xml:space="preserve"> a zo skutočností v predchádzajúcich sledovaných rokoch. Predloženým návrhom viacročného rozpočtu bola splnená povinnosť uložená obciam v § 21b zákona č. 583/2004 </w:t>
      </w:r>
      <w:proofErr w:type="spellStart"/>
      <w:r w:rsidRPr="00CC080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C0808">
        <w:rPr>
          <w:rFonts w:ascii="Times New Roman" w:hAnsi="Times New Roman" w:cs="Times New Roman"/>
          <w:sz w:val="24"/>
          <w:szCs w:val="24"/>
        </w:rPr>
        <w:t xml:space="preserve">. zostavovať programový rozpočet. Programovú štruktúru navrhnutého rozpočtu tvorí 13 programov, z ktorých každý predstavuje súhrn navzájom súvisiacich aktivít. Zavedenie programového rozpočtu neznamená zrušenie platnej štruktúry a obsahu finančného rozpočtu obce. Podľa § 10  zákona č. 583/2004 Z. z.  sa rozpočet obce vnútorne člení </w:t>
      </w:r>
      <w:r w:rsidRPr="00CC0808">
        <w:rPr>
          <w:rFonts w:ascii="Times New Roman" w:eastAsia="Times New Roman" w:hAnsi="Times New Roman" w:cs="Times New Roman"/>
          <w:sz w:val="24"/>
          <w:szCs w:val="24"/>
        </w:rPr>
        <w:t xml:space="preserve">na bežný rozpočet, kapitálový rozpočet a finančné operácie. </w:t>
      </w:r>
    </w:p>
    <w:p w14:paraId="05F16D3C" w14:textId="77777777" w:rsidR="002A3E95" w:rsidRPr="00CC0808" w:rsidRDefault="003E692F" w:rsidP="005B3040">
      <w:pPr>
        <w:pStyle w:val="Zkladntext2"/>
        <w:shd w:val="clear" w:color="auto" w:fill="FFFFFF"/>
        <w:rPr>
          <w:rFonts w:eastAsiaTheme="minorEastAsia"/>
          <w:sz w:val="24"/>
          <w:szCs w:val="24"/>
          <w:u w:val="none"/>
          <w:lang w:eastAsia="sk-SK"/>
        </w:rPr>
      </w:pPr>
      <w:r w:rsidRPr="00CC0808">
        <w:rPr>
          <w:rFonts w:eastAsiaTheme="minorEastAsia"/>
          <w:sz w:val="24"/>
          <w:szCs w:val="24"/>
          <w:u w:val="none"/>
          <w:lang w:eastAsia="sk-SK"/>
        </w:rPr>
        <w:t>C. CELKOVÁ BILANCIA ROZPOČTU</w:t>
      </w:r>
    </w:p>
    <w:p w14:paraId="19F84D1F" w14:textId="77777777" w:rsidR="00593982" w:rsidRDefault="00593982" w:rsidP="005B3040">
      <w:pPr>
        <w:pStyle w:val="Zkladntext2"/>
        <w:shd w:val="clear" w:color="auto" w:fill="FFFFFF"/>
        <w:rPr>
          <w:rFonts w:eastAsiaTheme="minorEastAsia"/>
          <w:b w:val="0"/>
          <w:sz w:val="24"/>
          <w:szCs w:val="24"/>
          <w:u w:val="none"/>
          <w:lang w:eastAsia="sk-SK"/>
        </w:rPr>
      </w:pPr>
    </w:p>
    <w:p w14:paraId="65B36C2F" w14:textId="1690DA86" w:rsidR="005B3040" w:rsidRPr="00CC0808" w:rsidRDefault="004716DE" w:rsidP="005B3040">
      <w:pPr>
        <w:pStyle w:val="Zkladntext2"/>
        <w:shd w:val="clear" w:color="auto" w:fill="FFFFFF"/>
        <w:rPr>
          <w:rFonts w:eastAsiaTheme="minorEastAsia"/>
          <w:b w:val="0"/>
          <w:sz w:val="24"/>
          <w:szCs w:val="24"/>
          <w:u w:val="none"/>
          <w:lang w:eastAsia="sk-SK"/>
        </w:rPr>
      </w:pPr>
      <w:r>
        <w:rPr>
          <w:rFonts w:eastAsiaTheme="minorEastAsia"/>
          <w:b w:val="0"/>
          <w:sz w:val="24"/>
          <w:szCs w:val="24"/>
          <w:u w:val="none"/>
          <w:lang w:eastAsia="sk-SK"/>
        </w:rPr>
        <w:t>Návrh rozpočtu na rok 202</w:t>
      </w:r>
      <w:r w:rsidR="002B39BD">
        <w:rPr>
          <w:rFonts w:eastAsiaTheme="minorEastAsia"/>
          <w:b w:val="0"/>
          <w:sz w:val="24"/>
          <w:szCs w:val="24"/>
          <w:u w:val="none"/>
          <w:lang w:eastAsia="sk-SK"/>
        </w:rPr>
        <w:t>4</w:t>
      </w:r>
      <w:r w:rsidR="003E692F" w:rsidRPr="00CC0808">
        <w:rPr>
          <w:rFonts w:eastAsiaTheme="minorEastAsia"/>
          <w:b w:val="0"/>
          <w:sz w:val="24"/>
          <w:szCs w:val="24"/>
          <w:u w:val="none"/>
          <w:lang w:eastAsia="sk-SK"/>
        </w:rPr>
        <w:t xml:space="preserve"> je zostavený ako vyrovnaný, kde pr</w:t>
      </w:r>
      <w:r>
        <w:rPr>
          <w:rFonts w:eastAsiaTheme="minorEastAsia"/>
          <w:b w:val="0"/>
          <w:sz w:val="24"/>
          <w:szCs w:val="24"/>
          <w:u w:val="none"/>
          <w:lang w:eastAsia="sk-SK"/>
        </w:rPr>
        <w:t>íjmy a výdavky predstavujú sumu</w:t>
      </w:r>
      <w:r w:rsidR="0026339F">
        <w:rPr>
          <w:rFonts w:eastAsiaTheme="minorEastAsia"/>
          <w:b w:val="0"/>
          <w:sz w:val="24"/>
          <w:szCs w:val="24"/>
          <w:u w:val="none"/>
          <w:lang w:eastAsia="sk-SK"/>
        </w:rPr>
        <w:t xml:space="preserve"> </w:t>
      </w:r>
      <w:r w:rsidR="00B345FF" w:rsidRPr="00B345FF">
        <w:rPr>
          <w:rFonts w:eastAsiaTheme="minorEastAsia"/>
          <w:bCs/>
          <w:sz w:val="24"/>
          <w:szCs w:val="24"/>
          <w:u w:val="none"/>
          <w:lang w:eastAsia="sk-SK"/>
        </w:rPr>
        <w:t>1</w:t>
      </w:r>
      <w:r w:rsidR="00506D40">
        <w:rPr>
          <w:rFonts w:eastAsiaTheme="minorEastAsia"/>
          <w:bCs/>
          <w:sz w:val="24"/>
          <w:szCs w:val="24"/>
          <w:u w:val="none"/>
          <w:lang w:eastAsia="sk-SK"/>
        </w:rPr>
        <w:t> 454 096</w:t>
      </w:r>
      <w:r w:rsidR="00B345FF" w:rsidRPr="00B345FF">
        <w:rPr>
          <w:rFonts w:eastAsiaTheme="minorEastAsia"/>
          <w:bCs/>
          <w:sz w:val="24"/>
          <w:szCs w:val="24"/>
          <w:u w:val="none"/>
          <w:lang w:eastAsia="sk-SK"/>
        </w:rPr>
        <w:t xml:space="preserve"> </w:t>
      </w:r>
      <w:r w:rsidR="00190A9F" w:rsidRPr="00B345FF">
        <w:rPr>
          <w:bCs/>
          <w:sz w:val="24"/>
          <w:szCs w:val="24"/>
          <w:u w:val="none"/>
        </w:rPr>
        <w:t>€</w:t>
      </w:r>
      <w:r w:rsidR="003E692F" w:rsidRPr="00CC0808">
        <w:rPr>
          <w:b w:val="0"/>
          <w:sz w:val="24"/>
          <w:szCs w:val="24"/>
          <w:u w:val="none"/>
        </w:rPr>
        <w:t>. Bežný rozpočet je zostavený ako prebytkový,</w:t>
      </w:r>
      <w:r>
        <w:rPr>
          <w:b w:val="0"/>
          <w:sz w:val="24"/>
          <w:szCs w:val="24"/>
          <w:u w:val="none"/>
        </w:rPr>
        <w:t xml:space="preserve"> finančné operácie sú schodkové</w:t>
      </w:r>
      <w:r w:rsidR="003E692F" w:rsidRPr="00CC0808">
        <w:rPr>
          <w:b w:val="0"/>
          <w:sz w:val="24"/>
          <w:szCs w:val="24"/>
          <w:u w:val="none"/>
        </w:rPr>
        <w:t xml:space="preserve"> a kapitálový rozpočet je schodkový, viď v tabuľke. </w:t>
      </w:r>
      <w:r w:rsidR="005B3040" w:rsidRPr="00CC0808">
        <w:rPr>
          <w:b w:val="0"/>
          <w:sz w:val="24"/>
          <w:szCs w:val="24"/>
          <w:u w:val="none"/>
        </w:rPr>
        <w:tab/>
      </w:r>
      <w:r w:rsidR="005B3040" w:rsidRPr="00CC0808">
        <w:rPr>
          <w:sz w:val="24"/>
          <w:szCs w:val="24"/>
          <w:u w:val="none"/>
        </w:rPr>
        <w:tab/>
      </w:r>
    </w:p>
    <w:p w14:paraId="2F4A43AE" w14:textId="77777777" w:rsidR="005B3040" w:rsidRPr="00CC0808" w:rsidRDefault="005B3040" w:rsidP="005B3040">
      <w:pPr>
        <w:pStyle w:val="Zkladntext2"/>
        <w:shd w:val="clear" w:color="auto" w:fill="FFFFFF"/>
        <w:rPr>
          <w:b w:val="0"/>
          <w:color w:val="FF0000"/>
          <w:sz w:val="24"/>
          <w:szCs w:val="24"/>
          <w:u w:val="none"/>
        </w:rPr>
      </w:pPr>
    </w:p>
    <w:p w14:paraId="4F1346AC" w14:textId="1D87D333" w:rsidR="005B3040" w:rsidRPr="00CC0808" w:rsidRDefault="005B3040" w:rsidP="005B3040">
      <w:pPr>
        <w:pStyle w:val="Zkladntext2"/>
        <w:shd w:val="clear" w:color="auto" w:fill="FFFFFF"/>
        <w:rPr>
          <w:sz w:val="24"/>
          <w:szCs w:val="24"/>
          <w:u w:val="none"/>
        </w:rPr>
      </w:pPr>
      <w:r w:rsidRPr="00CC0808">
        <w:rPr>
          <w:sz w:val="24"/>
          <w:szCs w:val="24"/>
          <w:u w:val="none"/>
        </w:rPr>
        <w:t>Ná</w:t>
      </w:r>
      <w:r w:rsidR="00732CFF">
        <w:rPr>
          <w:sz w:val="24"/>
          <w:szCs w:val="24"/>
          <w:u w:val="none"/>
        </w:rPr>
        <w:t>vrh bežného rozpočtu na rok 202</w:t>
      </w:r>
      <w:r w:rsidR="00345E07">
        <w:rPr>
          <w:sz w:val="24"/>
          <w:szCs w:val="24"/>
          <w:u w:val="none"/>
        </w:rPr>
        <w:t>4</w:t>
      </w:r>
      <w:r w:rsidRPr="00CC0808">
        <w:rPr>
          <w:sz w:val="24"/>
          <w:szCs w:val="24"/>
          <w:u w:val="none"/>
        </w:rPr>
        <w:t xml:space="preserve"> je zostavený ako prebytkový:</w:t>
      </w:r>
    </w:p>
    <w:tbl>
      <w:tblPr>
        <w:tblStyle w:val="Mriekatabuky"/>
        <w:tblW w:w="0" w:type="auto"/>
        <w:tblInd w:w="108" w:type="dxa"/>
        <w:tblLook w:val="01E0" w:firstRow="1" w:lastRow="1" w:firstColumn="1" w:lastColumn="1" w:noHBand="0" w:noVBand="0"/>
      </w:tblPr>
      <w:tblGrid>
        <w:gridCol w:w="2962"/>
        <w:gridCol w:w="3071"/>
        <w:gridCol w:w="2967"/>
      </w:tblGrid>
      <w:tr w:rsidR="005B3040" w:rsidRPr="00CC0808" w14:paraId="178D8A3B" w14:textId="77777777" w:rsidTr="00BD3126">
        <w:tc>
          <w:tcPr>
            <w:tcW w:w="2962" w:type="dxa"/>
          </w:tcPr>
          <w:p w14:paraId="318B13DF" w14:textId="77777777" w:rsidR="005B3040" w:rsidRPr="00996F74" w:rsidRDefault="005B3040" w:rsidP="00D0045E">
            <w:pPr>
              <w:pStyle w:val="Zkladntext2"/>
              <w:shd w:val="clear" w:color="auto" w:fill="auto"/>
              <w:jc w:val="left"/>
              <w:rPr>
                <w:bCs/>
                <w:sz w:val="24"/>
                <w:szCs w:val="24"/>
                <w:u w:val="none"/>
              </w:rPr>
            </w:pPr>
            <w:r w:rsidRPr="00996F74">
              <w:rPr>
                <w:bCs/>
                <w:sz w:val="24"/>
                <w:szCs w:val="24"/>
                <w:u w:val="none"/>
              </w:rPr>
              <w:t>Bežné príjmy</w:t>
            </w:r>
          </w:p>
        </w:tc>
        <w:tc>
          <w:tcPr>
            <w:tcW w:w="3071" w:type="dxa"/>
          </w:tcPr>
          <w:p w14:paraId="3F860E41" w14:textId="77777777" w:rsidR="005B3040" w:rsidRPr="00996F74" w:rsidRDefault="005B3040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996F74">
              <w:rPr>
                <w:bCs/>
                <w:sz w:val="24"/>
                <w:szCs w:val="24"/>
                <w:u w:val="none"/>
              </w:rPr>
              <w:t>Bežné výdavky</w:t>
            </w:r>
          </w:p>
        </w:tc>
        <w:tc>
          <w:tcPr>
            <w:tcW w:w="2967" w:type="dxa"/>
          </w:tcPr>
          <w:p w14:paraId="14DDAEF4" w14:textId="77777777" w:rsidR="005B3040" w:rsidRPr="00CC0808" w:rsidRDefault="005B3040" w:rsidP="00BD3126">
            <w:pPr>
              <w:pStyle w:val="Zkladntext2"/>
              <w:shd w:val="clear" w:color="auto" w:fill="auto"/>
              <w:rPr>
                <w:sz w:val="24"/>
                <w:szCs w:val="24"/>
                <w:u w:val="none"/>
              </w:rPr>
            </w:pPr>
            <w:r w:rsidRPr="00CC0808">
              <w:rPr>
                <w:sz w:val="24"/>
                <w:szCs w:val="24"/>
                <w:u w:val="none"/>
              </w:rPr>
              <w:t>Prebytok</w:t>
            </w:r>
          </w:p>
        </w:tc>
      </w:tr>
      <w:tr w:rsidR="005B3040" w:rsidRPr="00CC0808" w14:paraId="7ACBF385" w14:textId="77777777" w:rsidTr="00BD3126">
        <w:tc>
          <w:tcPr>
            <w:tcW w:w="2962" w:type="dxa"/>
          </w:tcPr>
          <w:p w14:paraId="2BFCA6C4" w14:textId="2CF5C3F7" w:rsidR="005B3040" w:rsidRPr="000120CB" w:rsidRDefault="003D5C6F" w:rsidP="003D5C6F">
            <w:pPr>
              <w:pStyle w:val="Zkladntext2"/>
              <w:shd w:val="clear" w:color="auto" w:fill="auto"/>
              <w:jc w:val="left"/>
              <w:rPr>
                <w:sz w:val="24"/>
                <w:szCs w:val="24"/>
                <w:u w:val="none"/>
              </w:rPr>
            </w:pPr>
            <w:r w:rsidRPr="000120CB">
              <w:rPr>
                <w:sz w:val="24"/>
                <w:szCs w:val="24"/>
                <w:u w:val="none"/>
              </w:rPr>
              <w:t xml:space="preserve"> </w:t>
            </w:r>
            <w:r w:rsidR="002F0B38" w:rsidRPr="000120CB">
              <w:rPr>
                <w:sz w:val="24"/>
                <w:szCs w:val="24"/>
                <w:u w:val="none"/>
              </w:rPr>
              <w:t xml:space="preserve"> </w:t>
            </w:r>
            <w:r w:rsidR="000120CB" w:rsidRPr="000120CB">
              <w:rPr>
                <w:sz w:val="24"/>
                <w:szCs w:val="24"/>
                <w:u w:val="none"/>
              </w:rPr>
              <w:t>1 441 096</w:t>
            </w:r>
            <w:r w:rsidR="00996F74" w:rsidRPr="000120CB">
              <w:rPr>
                <w:sz w:val="24"/>
                <w:szCs w:val="24"/>
                <w:u w:val="none"/>
              </w:rPr>
              <w:t xml:space="preserve"> </w:t>
            </w:r>
            <w:r w:rsidR="00D0045E" w:rsidRPr="000120CB">
              <w:rPr>
                <w:sz w:val="24"/>
                <w:szCs w:val="24"/>
                <w:u w:val="none"/>
              </w:rPr>
              <w:t>€</w:t>
            </w:r>
          </w:p>
        </w:tc>
        <w:tc>
          <w:tcPr>
            <w:tcW w:w="3071" w:type="dxa"/>
          </w:tcPr>
          <w:p w14:paraId="169682ED" w14:textId="13E86B0A" w:rsidR="005B3040" w:rsidRPr="000120CB" w:rsidRDefault="004341C0" w:rsidP="004341C0">
            <w:pPr>
              <w:pStyle w:val="Zkladntext2"/>
              <w:shd w:val="clear" w:color="auto" w:fill="auto"/>
              <w:jc w:val="left"/>
              <w:rPr>
                <w:sz w:val="24"/>
                <w:szCs w:val="24"/>
                <w:u w:val="none"/>
              </w:rPr>
            </w:pPr>
            <w:r w:rsidRPr="000120CB">
              <w:rPr>
                <w:sz w:val="24"/>
                <w:szCs w:val="24"/>
                <w:u w:val="none"/>
              </w:rPr>
              <w:t xml:space="preserve"> </w:t>
            </w:r>
            <w:r w:rsidR="000120CB" w:rsidRPr="000120CB">
              <w:rPr>
                <w:sz w:val="24"/>
                <w:szCs w:val="24"/>
                <w:u w:val="none"/>
              </w:rPr>
              <w:t>1 264 653</w:t>
            </w:r>
            <w:r w:rsidR="00996F74" w:rsidRPr="000120CB">
              <w:rPr>
                <w:sz w:val="24"/>
                <w:szCs w:val="24"/>
                <w:u w:val="none"/>
              </w:rPr>
              <w:t xml:space="preserve"> </w:t>
            </w:r>
            <w:r w:rsidR="00C21648" w:rsidRPr="000120CB">
              <w:rPr>
                <w:sz w:val="24"/>
                <w:szCs w:val="24"/>
                <w:u w:val="none"/>
              </w:rPr>
              <w:t>€</w:t>
            </w:r>
            <w:r w:rsidR="00C21648" w:rsidRPr="000120C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67" w:type="dxa"/>
          </w:tcPr>
          <w:p w14:paraId="272969C8" w14:textId="75843433" w:rsidR="005B3040" w:rsidRPr="000120CB" w:rsidRDefault="002F0B38" w:rsidP="003D5C6F">
            <w:pPr>
              <w:pStyle w:val="Zkladntext2"/>
              <w:shd w:val="clear" w:color="auto" w:fill="auto"/>
              <w:rPr>
                <w:sz w:val="24"/>
                <w:szCs w:val="24"/>
                <w:u w:val="none"/>
              </w:rPr>
            </w:pPr>
            <w:r w:rsidRPr="000120CB">
              <w:rPr>
                <w:sz w:val="24"/>
                <w:szCs w:val="24"/>
                <w:u w:val="none"/>
              </w:rPr>
              <w:t xml:space="preserve"> </w:t>
            </w:r>
            <w:r w:rsidR="00B345FF" w:rsidRPr="000120CB">
              <w:rPr>
                <w:sz w:val="24"/>
                <w:szCs w:val="24"/>
                <w:u w:val="none"/>
              </w:rPr>
              <w:t xml:space="preserve"> </w:t>
            </w:r>
            <w:r w:rsidR="000120CB" w:rsidRPr="000120CB">
              <w:rPr>
                <w:sz w:val="24"/>
                <w:szCs w:val="24"/>
                <w:u w:val="none"/>
              </w:rPr>
              <w:t xml:space="preserve">176 443 </w:t>
            </w:r>
            <w:r w:rsidR="00D0045E" w:rsidRPr="000120CB">
              <w:rPr>
                <w:sz w:val="24"/>
                <w:szCs w:val="24"/>
                <w:u w:val="none"/>
              </w:rPr>
              <w:t>€</w:t>
            </w:r>
          </w:p>
        </w:tc>
      </w:tr>
    </w:tbl>
    <w:p w14:paraId="7D4A3BA9" w14:textId="77777777" w:rsidR="00F77501" w:rsidRDefault="00F77501" w:rsidP="00DC70DF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bookmarkStart w:id="1" w:name="_Hlk118882902"/>
      <w:r>
        <w:rPr>
          <w:b w:val="0"/>
          <w:sz w:val="24"/>
          <w:szCs w:val="24"/>
          <w:u w:val="none"/>
        </w:rPr>
        <w:t>Na porovnanie:</w:t>
      </w:r>
    </w:p>
    <w:p w14:paraId="23DFB676" w14:textId="03E0C8B6" w:rsidR="003E692F" w:rsidRPr="00CC0808" w:rsidRDefault="003E692F" w:rsidP="00DC70DF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- b</w:t>
      </w:r>
      <w:r w:rsidR="006A7F54" w:rsidRPr="00CC0808">
        <w:rPr>
          <w:b w:val="0"/>
          <w:sz w:val="24"/>
          <w:szCs w:val="24"/>
          <w:u w:val="none"/>
        </w:rPr>
        <w:t>ežné príjmy</w:t>
      </w:r>
      <w:r w:rsidRPr="00CC0808">
        <w:rPr>
          <w:b w:val="0"/>
          <w:sz w:val="24"/>
          <w:szCs w:val="24"/>
          <w:u w:val="none"/>
        </w:rPr>
        <w:t xml:space="preserve"> rozpočtu</w:t>
      </w:r>
      <w:r w:rsidR="006A7F54" w:rsidRPr="00CC0808">
        <w:rPr>
          <w:b w:val="0"/>
          <w:sz w:val="24"/>
          <w:szCs w:val="24"/>
          <w:u w:val="none"/>
        </w:rPr>
        <w:t xml:space="preserve"> obce </w:t>
      </w:r>
      <w:r w:rsidR="0042448D">
        <w:rPr>
          <w:b w:val="0"/>
          <w:sz w:val="24"/>
          <w:szCs w:val="24"/>
          <w:u w:val="none"/>
        </w:rPr>
        <w:t>na rok 202</w:t>
      </w:r>
      <w:r w:rsidR="000120CB">
        <w:rPr>
          <w:b w:val="0"/>
          <w:sz w:val="24"/>
          <w:szCs w:val="24"/>
          <w:u w:val="none"/>
        </w:rPr>
        <w:t>4</w:t>
      </w:r>
      <w:r w:rsidR="0042448D">
        <w:rPr>
          <w:b w:val="0"/>
          <w:sz w:val="24"/>
          <w:szCs w:val="24"/>
          <w:u w:val="none"/>
        </w:rPr>
        <w:t xml:space="preserve"> </w:t>
      </w:r>
      <w:r w:rsidR="006A7F54" w:rsidRPr="00CC0808">
        <w:rPr>
          <w:b w:val="0"/>
          <w:sz w:val="24"/>
          <w:szCs w:val="24"/>
          <w:u w:val="none"/>
        </w:rPr>
        <w:t>predpok</w:t>
      </w:r>
      <w:r w:rsidR="00FD1790">
        <w:rPr>
          <w:b w:val="0"/>
          <w:sz w:val="24"/>
          <w:szCs w:val="24"/>
          <w:u w:val="none"/>
        </w:rPr>
        <w:t xml:space="preserve">ladajú </w:t>
      </w:r>
      <w:r w:rsidR="00B345FF">
        <w:rPr>
          <w:b w:val="0"/>
          <w:sz w:val="24"/>
          <w:szCs w:val="24"/>
          <w:u w:val="none"/>
        </w:rPr>
        <w:t>nárast</w:t>
      </w:r>
      <w:r w:rsidR="005F7852">
        <w:rPr>
          <w:b w:val="0"/>
          <w:sz w:val="24"/>
          <w:szCs w:val="24"/>
          <w:u w:val="none"/>
        </w:rPr>
        <w:t xml:space="preserve"> </w:t>
      </w:r>
      <w:r w:rsidR="00FD1790">
        <w:rPr>
          <w:b w:val="0"/>
          <w:sz w:val="24"/>
          <w:szCs w:val="24"/>
          <w:u w:val="none"/>
        </w:rPr>
        <w:t>príjmov o</w:t>
      </w:r>
      <w:r w:rsidR="000120CB">
        <w:rPr>
          <w:b w:val="0"/>
          <w:sz w:val="24"/>
          <w:szCs w:val="24"/>
          <w:u w:val="none"/>
        </w:rPr>
        <w:t> 113 962</w:t>
      </w:r>
      <w:r w:rsidR="00FD1790">
        <w:rPr>
          <w:b w:val="0"/>
          <w:sz w:val="24"/>
          <w:szCs w:val="24"/>
          <w:u w:val="none"/>
        </w:rPr>
        <w:t xml:space="preserve"> € oproti rozpočtu z roku 202</w:t>
      </w:r>
      <w:r w:rsidR="000120CB">
        <w:rPr>
          <w:b w:val="0"/>
          <w:sz w:val="24"/>
          <w:szCs w:val="24"/>
          <w:u w:val="none"/>
        </w:rPr>
        <w:t>3</w:t>
      </w:r>
      <w:r w:rsidR="006A7F54" w:rsidRPr="00CC0808">
        <w:rPr>
          <w:b w:val="0"/>
          <w:sz w:val="24"/>
          <w:szCs w:val="24"/>
          <w:u w:val="none"/>
        </w:rPr>
        <w:t xml:space="preserve">. </w:t>
      </w:r>
    </w:p>
    <w:p w14:paraId="58678E47" w14:textId="0D93002F" w:rsidR="00CD11FC" w:rsidRDefault="00F77501" w:rsidP="00DC70DF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bežné výdavky rozpočtu obce </w:t>
      </w:r>
      <w:r w:rsidR="007A0183">
        <w:rPr>
          <w:b w:val="0"/>
          <w:sz w:val="24"/>
          <w:szCs w:val="24"/>
          <w:u w:val="none"/>
        </w:rPr>
        <w:t>na rok 202</w:t>
      </w:r>
      <w:r w:rsidR="000120CB">
        <w:rPr>
          <w:b w:val="0"/>
          <w:sz w:val="24"/>
          <w:szCs w:val="24"/>
          <w:u w:val="none"/>
        </w:rPr>
        <w:t>4</w:t>
      </w:r>
      <w:r w:rsidR="007A0183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predpoklad</w:t>
      </w:r>
      <w:r w:rsidR="00FD1790">
        <w:rPr>
          <w:b w:val="0"/>
          <w:sz w:val="24"/>
          <w:szCs w:val="24"/>
          <w:u w:val="none"/>
        </w:rPr>
        <w:t xml:space="preserve">ajú </w:t>
      </w:r>
      <w:bookmarkStart w:id="2" w:name="_Hlk118879809"/>
      <w:r w:rsidR="00B345FF">
        <w:rPr>
          <w:b w:val="0"/>
          <w:sz w:val="24"/>
          <w:szCs w:val="24"/>
          <w:u w:val="none"/>
        </w:rPr>
        <w:t xml:space="preserve">nárast </w:t>
      </w:r>
      <w:r w:rsidR="00FD1790">
        <w:rPr>
          <w:b w:val="0"/>
          <w:sz w:val="24"/>
          <w:szCs w:val="24"/>
          <w:u w:val="none"/>
        </w:rPr>
        <w:t>výdavkov o</w:t>
      </w:r>
      <w:r w:rsidR="000120CB">
        <w:rPr>
          <w:b w:val="0"/>
          <w:sz w:val="24"/>
          <w:szCs w:val="24"/>
          <w:u w:val="none"/>
        </w:rPr>
        <w:t> 166 110</w:t>
      </w:r>
      <w:r>
        <w:rPr>
          <w:b w:val="0"/>
          <w:sz w:val="24"/>
          <w:szCs w:val="24"/>
          <w:u w:val="none"/>
        </w:rPr>
        <w:t xml:space="preserve"> € oproti rozpočtu z roku </w:t>
      </w:r>
      <w:r w:rsidR="00FD1790">
        <w:rPr>
          <w:b w:val="0"/>
          <w:sz w:val="24"/>
          <w:szCs w:val="24"/>
          <w:u w:val="none"/>
        </w:rPr>
        <w:t>202</w:t>
      </w:r>
      <w:r w:rsidR="000120CB">
        <w:rPr>
          <w:b w:val="0"/>
          <w:sz w:val="24"/>
          <w:szCs w:val="24"/>
          <w:u w:val="none"/>
        </w:rPr>
        <w:t>3</w:t>
      </w:r>
    </w:p>
    <w:bookmarkEnd w:id="1"/>
    <w:bookmarkEnd w:id="2"/>
    <w:p w14:paraId="17CA2997" w14:textId="77777777" w:rsidR="00FD1790" w:rsidRPr="00CC0808" w:rsidRDefault="00FD1790" w:rsidP="00DC70DF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</w:p>
    <w:p w14:paraId="41AA39A2" w14:textId="77777777" w:rsidR="00DC70DF" w:rsidRPr="00CC0808" w:rsidRDefault="00DC70DF" w:rsidP="00DC70DF">
      <w:pPr>
        <w:pStyle w:val="Zkladntext2"/>
        <w:shd w:val="clear" w:color="auto" w:fill="FFFFFF"/>
        <w:rPr>
          <w:sz w:val="24"/>
          <w:szCs w:val="24"/>
          <w:u w:val="none"/>
        </w:rPr>
      </w:pPr>
      <w:r w:rsidRPr="00CC0808">
        <w:rPr>
          <w:sz w:val="24"/>
          <w:szCs w:val="24"/>
          <w:u w:val="none"/>
        </w:rPr>
        <w:t>Finančné operácie</w:t>
      </w:r>
      <w:r w:rsidR="00C81030" w:rsidRPr="00CC0808">
        <w:rPr>
          <w:sz w:val="24"/>
          <w:szCs w:val="24"/>
          <w:u w:val="none"/>
        </w:rPr>
        <w:t xml:space="preserve"> z minulých rokov</w:t>
      </w:r>
      <w:r w:rsidR="00867797" w:rsidRPr="00CC0808">
        <w:rPr>
          <w:sz w:val="24"/>
          <w:szCs w:val="24"/>
          <w:u w:val="none"/>
        </w:rPr>
        <w:t>:</w:t>
      </w:r>
    </w:p>
    <w:tbl>
      <w:tblPr>
        <w:tblStyle w:val="Mriekatabuky"/>
        <w:tblW w:w="9000" w:type="dxa"/>
        <w:tblInd w:w="108" w:type="dxa"/>
        <w:tblLook w:val="01E0" w:firstRow="1" w:lastRow="1" w:firstColumn="1" w:lastColumn="1" w:noHBand="0" w:noVBand="0"/>
      </w:tblPr>
      <w:tblGrid>
        <w:gridCol w:w="2962"/>
        <w:gridCol w:w="3071"/>
        <w:gridCol w:w="2967"/>
      </w:tblGrid>
      <w:tr w:rsidR="00DC70DF" w:rsidRPr="00CC0808" w14:paraId="2101AD92" w14:textId="77777777" w:rsidTr="00BD3126">
        <w:tc>
          <w:tcPr>
            <w:tcW w:w="2962" w:type="dxa"/>
          </w:tcPr>
          <w:p w14:paraId="3A71C309" w14:textId="77777777" w:rsidR="00DC70DF" w:rsidRPr="00B345FF" w:rsidRDefault="00D61B8A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B345FF">
              <w:rPr>
                <w:bCs/>
                <w:sz w:val="24"/>
                <w:szCs w:val="24"/>
                <w:u w:val="none"/>
              </w:rPr>
              <w:t>Príjmové fin.</w:t>
            </w:r>
            <w:r w:rsidR="00DC70DF" w:rsidRPr="00B345FF">
              <w:rPr>
                <w:bCs/>
                <w:sz w:val="24"/>
                <w:szCs w:val="24"/>
                <w:u w:val="none"/>
              </w:rPr>
              <w:t xml:space="preserve"> operácie</w:t>
            </w:r>
          </w:p>
        </w:tc>
        <w:tc>
          <w:tcPr>
            <w:tcW w:w="3071" w:type="dxa"/>
          </w:tcPr>
          <w:p w14:paraId="3953F92D" w14:textId="77777777" w:rsidR="00DC70DF" w:rsidRPr="00B345FF" w:rsidRDefault="00D61B8A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B345FF">
              <w:rPr>
                <w:bCs/>
                <w:sz w:val="24"/>
                <w:szCs w:val="24"/>
                <w:u w:val="none"/>
              </w:rPr>
              <w:t>Výdavkové fin. operácie</w:t>
            </w:r>
          </w:p>
        </w:tc>
        <w:tc>
          <w:tcPr>
            <w:tcW w:w="2967" w:type="dxa"/>
          </w:tcPr>
          <w:p w14:paraId="658B0312" w14:textId="77777777" w:rsidR="00DC70DF" w:rsidRPr="00D61B8A" w:rsidRDefault="00732CFF" w:rsidP="00BD3126">
            <w:pPr>
              <w:pStyle w:val="Zkladntext2"/>
              <w:shd w:val="clear" w:color="auto" w:fill="auto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Schodok</w:t>
            </w:r>
          </w:p>
        </w:tc>
      </w:tr>
      <w:tr w:rsidR="00DC70DF" w:rsidRPr="00CC0808" w14:paraId="75792212" w14:textId="77777777" w:rsidTr="00BD3126">
        <w:tc>
          <w:tcPr>
            <w:tcW w:w="2962" w:type="dxa"/>
          </w:tcPr>
          <w:p w14:paraId="586C8052" w14:textId="4212BBEE" w:rsidR="00DC70DF" w:rsidRPr="000120CB" w:rsidRDefault="002F0B38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FF26DF"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B345FF" w:rsidRPr="000120CB">
              <w:rPr>
                <w:bCs/>
                <w:sz w:val="24"/>
                <w:szCs w:val="24"/>
                <w:u w:val="none"/>
              </w:rPr>
              <w:t xml:space="preserve">0 </w:t>
            </w:r>
            <w:r w:rsidR="00DC70DF" w:rsidRPr="000120CB">
              <w:rPr>
                <w:bCs/>
                <w:sz w:val="24"/>
                <w:szCs w:val="24"/>
                <w:u w:val="none"/>
              </w:rPr>
              <w:t>€</w:t>
            </w:r>
          </w:p>
        </w:tc>
        <w:tc>
          <w:tcPr>
            <w:tcW w:w="3071" w:type="dxa"/>
          </w:tcPr>
          <w:p w14:paraId="5583B22A" w14:textId="14B224DE" w:rsidR="00DC70DF" w:rsidRPr="000120CB" w:rsidRDefault="00A02350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0120CB">
              <w:rPr>
                <w:bCs/>
                <w:sz w:val="24"/>
                <w:szCs w:val="24"/>
                <w:u w:val="none"/>
              </w:rPr>
              <w:t>27 789</w:t>
            </w:r>
            <w:r w:rsidR="00353258" w:rsidRPr="000120CB">
              <w:rPr>
                <w:bCs/>
                <w:sz w:val="24"/>
                <w:szCs w:val="24"/>
                <w:u w:val="none"/>
              </w:rPr>
              <w:t xml:space="preserve"> €</w:t>
            </w:r>
          </w:p>
        </w:tc>
        <w:tc>
          <w:tcPr>
            <w:tcW w:w="2967" w:type="dxa"/>
          </w:tcPr>
          <w:p w14:paraId="3856D012" w14:textId="2D52F799" w:rsidR="00DC70DF" w:rsidRPr="000120CB" w:rsidRDefault="002F0B38" w:rsidP="000F3BAB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A02350" w:rsidRPr="000120CB">
              <w:rPr>
                <w:bCs/>
                <w:sz w:val="24"/>
                <w:szCs w:val="24"/>
                <w:u w:val="none"/>
              </w:rPr>
              <w:t>27 789</w:t>
            </w:r>
            <w:r w:rsidR="00B345FF"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DC70DF" w:rsidRPr="000120CB">
              <w:rPr>
                <w:bCs/>
                <w:sz w:val="24"/>
                <w:szCs w:val="24"/>
                <w:u w:val="none"/>
              </w:rPr>
              <w:t>€</w:t>
            </w:r>
          </w:p>
        </w:tc>
      </w:tr>
    </w:tbl>
    <w:p w14:paraId="431CFD15" w14:textId="29BDE09E" w:rsidR="003D5849" w:rsidRPr="00CC0808" w:rsidRDefault="00DC70DF" w:rsidP="005B3040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- </w:t>
      </w:r>
      <w:r w:rsidR="00A120F2" w:rsidRPr="00CC0808">
        <w:rPr>
          <w:b w:val="0"/>
          <w:sz w:val="24"/>
          <w:szCs w:val="24"/>
          <w:u w:val="none"/>
        </w:rPr>
        <w:t xml:space="preserve">príjmové </w:t>
      </w:r>
      <w:r w:rsidRPr="00CC0808">
        <w:rPr>
          <w:b w:val="0"/>
          <w:sz w:val="24"/>
          <w:szCs w:val="24"/>
          <w:u w:val="none"/>
        </w:rPr>
        <w:t xml:space="preserve">finančné operácie </w:t>
      </w:r>
      <w:r w:rsidR="00A120F2" w:rsidRPr="00CC0808">
        <w:rPr>
          <w:b w:val="0"/>
          <w:sz w:val="24"/>
          <w:szCs w:val="24"/>
          <w:u w:val="none"/>
        </w:rPr>
        <w:t>tvoria zostat</w:t>
      </w:r>
      <w:r w:rsidRPr="00CC0808">
        <w:rPr>
          <w:b w:val="0"/>
          <w:sz w:val="24"/>
          <w:szCs w:val="24"/>
          <w:u w:val="none"/>
        </w:rPr>
        <w:t>k</w:t>
      </w:r>
      <w:r w:rsidR="00A120F2" w:rsidRPr="00CC0808">
        <w:rPr>
          <w:b w:val="0"/>
          <w:sz w:val="24"/>
          <w:szCs w:val="24"/>
          <w:u w:val="none"/>
        </w:rPr>
        <w:t>y</w:t>
      </w:r>
      <w:r w:rsidRPr="00CC0808">
        <w:rPr>
          <w:b w:val="0"/>
          <w:sz w:val="24"/>
          <w:szCs w:val="24"/>
          <w:u w:val="none"/>
        </w:rPr>
        <w:t xml:space="preserve"> z minulých ro</w:t>
      </w:r>
      <w:r w:rsidR="00A120F2" w:rsidRPr="00CC0808">
        <w:rPr>
          <w:b w:val="0"/>
          <w:sz w:val="24"/>
          <w:szCs w:val="24"/>
          <w:u w:val="none"/>
        </w:rPr>
        <w:t xml:space="preserve">kov zahrňujeme </w:t>
      </w:r>
      <w:r w:rsidR="006A7F54" w:rsidRPr="00CC0808">
        <w:rPr>
          <w:b w:val="0"/>
          <w:sz w:val="24"/>
          <w:szCs w:val="24"/>
          <w:u w:val="none"/>
        </w:rPr>
        <w:t xml:space="preserve">ich </w:t>
      </w:r>
      <w:r w:rsidR="00A120F2" w:rsidRPr="00CC0808">
        <w:rPr>
          <w:b w:val="0"/>
          <w:sz w:val="24"/>
          <w:szCs w:val="24"/>
          <w:u w:val="none"/>
        </w:rPr>
        <w:t xml:space="preserve">k bežným príjmom </w:t>
      </w:r>
      <w:r w:rsidRPr="00CC0808">
        <w:rPr>
          <w:b w:val="0"/>
          <w:sz w:val="24"/>
          <w:szCs w:val="24"/>
          <w:u w:val="none"/>
        </w:rPr>
        <w:t>obce</w:t>
      </w:r>
      <w:r w:rsidR="00A120F2" w:rsidRPr="00CC0808">
        <w:rPr>
          <w:b w:val="0"/>
          <w:sz w:val="24"/>
          <w:szCs w:val="24"/>
          <w:u w:val="none"/>
        </w:rPr>
        <w:t>, sú to prevody prostriedkov z rezervného fondu, prijaté finančné zábezpeky</w:t>
      </w:r>
      <w:r w:rsidR="00C71CBD">
        <w:rPr>
          <w:b w:val="0"/>
          <w:sz w:val="24"/>
          <w:szCs w:val="24"/>
          <w:u w:val="none"/>
        </w:rPr>
        <w:t xml:space="preserve"> sa v tomto roku nerozpočtovali</w:t>
      </w:r>
      <w:r w:rsidR="00B345FF">
        <w:rPr>
          <w:b w:val="0"/>
          <w:sz w:val="24"/>
          <w:szCs w:val="24"/>
          <w:u w:val="none"/>
        </w:rPr>
        <w:t>, budú zahrnuté v úprave rozpočtu</w:t>
      </w:r>
      <w:r w:rsidR="00F22404">
        <w:rPr>
          <w:b w:val="0"/>
          <w:sz w:val="24"/>
          <w:szCs w:val="24"/>
          <w:u w:val="none"/>
        </w:rPr>
        <w:t>.</w:t>
      </w:r>
    </w:p>
    <w:p w14:paraId="4A25E1E0" w14:textId="77777777" w:rsidR="006A7F54" w:rsidRPr="00CC0808" w:rsidRDefault="00732CFF" w:rsidP="005B3040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výdavkové finančné operácie</w:t>
      </w:r>
      <w:r w:rsidR="006A7F54" w:rsidRPr="00CC0808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tvoria </w:t>
      </w:r>
      <w:proofErr w:type="spellStart"/>
      <w:r w:rsidR="00FD1790">
        <w:rPr>
          <w:b w:val="0"/>
          <w:sz w:val="24"/>
          <w:szCs w:val="24"/>
          <w:u w:val="none"/>
        </w:rPr>
        <w:t>vratka</w:t>
      </w:r>
      <w:proofErr w:type="spellEnd"/>
      <w:r w:rsidR="00FD1790">
        <w:rPr>
          <w:b w:val="0"/>
          <w:sz w:val="24"/>
          <w:szCs w:val="24"/>
          <w:u w:val="none"/>
        </w:rPr>
        <w:t xml:space="preserve"> finančnej zábezpeky, </w:t>
      </w:r>
      <w:r w:rsidR="006A7F54" w:rsidRPr="00CC0808">
        <w:rPr>
          <w:b w:val="0"/>
          <w:sz w:val="24"/>
          <w:szCs w:val="24"/>
          <w:u w:val="none"/>
        </w:rPr>
        <w:t xml:space="preserve">splátky úverov, </w:t>
      </w:r>
      <w:r w:rsidR="00FD1790">
        <w:rPr>
          <w:b w:val="0"/>
          <w:sz w:val="24"/>
          <w:szCs w:val="24"/>
          <w:u w:val="none"/>
        </w:rPr>
        <w:t>leasing</w:t>
      </w:r>
    </w:p>
    <w:p w14:paraId="2A5720A6" w14:textId="77777777" w:rsidR="00A120F2" w:rsidRPr="00CC0808" w:rsidRDefault="00A120F2" w:rsidP="005B3040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</w:p>
    <w:p w14:paraId="6B8C44B6" w14:textId="0D072EC1" w:rsidR="005B3040" w:rsidRPr="00CC0808" w:rsidRDefault="005B3040" w:rsidP="005B3040">
      <w:pPr>
        <w:pStyle w:val="Zkladntext2"/>
        <w:shd w:val="clear" w:color="auto" w:fill="FFFFFF"/>
        <w:rPr>
          <w:sz w:val="24"/>
          <w:szCs w:val="24"/>
          <w:u w:val="none"/>
        </w:rPr>
      </w:pPr>
      <w:r w:rsidRPr="00CC0808">
        <w:rPr>
          <w:sz w:val="24"/>
          <w:szCs w:val="24"/>
          <w:u w:val="none"/>
        </w:rPr>
        <w:t>Návrh k</w:t>
      </w:r>
      <w:r w:rsidR="009A1332" w:rsidRPr="00CC0808">
        <w:rPr>
          <w:sz w:val="24"/>
          <w:szCs w:val="24"/>
          <w:u w:val="none"/>
        </w:rPr>
        <w:t xml:space="preserve">apitálového </w:t>
      </w:r>
      <w:r w:rsidR="00732CFF">
        <w:rPr>
          <w:sz w:val="24"/>
          <w:szCs w:val="24"/>
          <w:u w:val="none"/>
        </w:rPr>
        <w:t>rozpočtu na rok 202</w:t>
      </w:r>
      <w:r w:rsidR="000120CB">
        <w:rPr>
          <w:sz w:val="24"/>
          <w:szCs w:val="24"/>
          <w:u w:val="none"/>
        </w:rPr>
        <w:t>4</w:t>
      </w:r>
      <w:r w:rsidRPr="00CC0808">
        <w:rPr>
          <w:sz w:val="24"/>
          <w:szCs w:val="24"/>
          <w:u w:val="none"/>
        </w:rPr>
        <w:t xml:space="preserve"> je zostavený ako schodkový:</w:t>
      </w:r>
    </w:p>
    <w:tbl>
      <w:tblPr>
        <w:tblStyle w:val="Mriekatabuky"/>
        <w:tblW w:w="9000" w:type="dxa"/>
        <w:tblInd w:w="108" w:type="dxa"/>
        <w:tblLook w:val="01E0" w:firstRow="1" w:lastRow="1" w:firstColumn="1" w:lastColumn="1" w:noHBand="0" w:noVBand="0"/>
      </w:tblPr>
      <w:tblGrid>
        <w:gridCol w:w="2962"/>
        <w:gridCol w:w="3071"/>
        <w:gridCol w:w="2967"/>
      </w:tblGrid>
      <w:tr w:rsidR="005B3040" w:rsidRPr="00CC0808" w14:paraId="4DA10E3E" w14:textId="77777777" w:rsidTr="006D5FC4">
        <w:tc>
          <w:tcPr>
            <w:tcW w:w="2962" w:type="dxa"/>
          </w:tcPr>
          <w:p w14:paraId="7F34F419" w14:textId="77777777" w:rsidR="005B3040" w:rsidRPr="00B345FF" w:rsidRDefault="005B3040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B345FF">
              <w:rPr>
                <w:bCs/>
                <w:sz w:val="24"/>
                <w:szCs w:val="24"/>
                <w:u w:val="none"/>
              </w:rPr>
              <w:t>Kapitálové príjmy</w:t>
            </w:r>
          </w:p>
        </w:tc>
        <w:tc>
          <w:tcPr>
            <w:tcW w:w="3071" w:type="dxa"/>
          </w:tcPr>
          <w:p w14:paraId="2D855832" w14:textId="77777777" w:rsidR="005B3040" w:rsidRPr="00B345FF" w:rsidRDefault="005B3040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B345FF">
              <w:rPr>
                <w:bCs/>
                <w:sz w:val="24"/>
                <w:szCs w:val="24"/>
                <w:u w:val="none"/>
              </w:rPr>
              <w:t>Kapitálové výdavky</w:t>
            </w:r>
          </w:p>
        </w:tc>
        <w:tc>
          <w:tcPr>
            <w:tcW w:w="2967" w:type="dxa"/>
          </w:tcPr>
          <w:p w14:paraId="6F954C67" w14:textId="77777777" w:rsidR="005B3040" w:rsidRPr="00B345FF" w:rsidRDefault="005B3040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B345FF">
              <w:rPr>
                <w:bCs/>
                <w:sz w:val="24"/>
                <w:szCs w:val="24"/>
                <w:u w:val="none"/>
              </w:rPr>
              <w:t>Schodok</w:t>
            </w:r>
          </w:p>
        </w:tc>
      </w:tr>
      <w:tr w:rsidR="005B3040" w:rsidRPr="00CC0808" w14:paraId="6671D6D3" w14:textId="77777777" w:rsidTr="006D5FC4">
        <w:tc>
          <w:tcPr>
            <w:tcW w:w="2962" w:type="dxa"/>
          </w:tcPr>
          <w:p w14:paraId="36AC400F" w14:textId="77B26424" w:rsidR="005B3040" w:rsidRPr="000120CB" w:rsidRDefault="00A02350" w:rsidP="00BD3126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0120CB">
              <w:rPr>
                <w:bCs/>
                <w:sz w:val="24"/>
                <w:szCs w:val="24"/>
                <w:u w:val="none"/>
              </w:rPr>
              <w:t>13 000</w:t>
            </w:r>
            <w:r w:rsidR="00353258"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D0045E" w:rsidRPr="000120CB">
              <w:rPr>
                <w:bCs/>
                <w:sz w:val="24"/>
                <w:szCs w:val="24"/>
                <w:u w:val="none"/>
              </w:rPr>
              <w:t>€</w:t>
            </w:r>
          </w:p>
        </w:tc>
        <w:tc>
          <w:tcPr>
            <w:tcW w:w="3071" w:type="dxa"/>
          </w:tcPr>
          <w:p w14:paraId="092249A2" w14:textId="032F807C" w:rsidR="005B3040" w:rsidRPr="000120CB" w:rsidRDefault="00FF26DF" w:rsidP="00732CFF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A02350" w:rsidRPr="000120CB">
              <w:rPr>
                <w:bCs/>
                <w:sz w:val="24"/>
                <w:szCs w:val="24"/>
                <w:u w:val="none"/>
              </w:rPr>
              <w:t xml:space="preserve">161 654 </w:t>
            </w:r>
            <w:r w:rsidR="00D0045E" w:rsidRPr="000120CB">
              <w:rPr>
                <w:bCs/>
                <w:sz w:val="24"/>
                <w:szCs w:val="24"/>
                <w:u w:val="none"/>
              </w:rPr>
              <w:t>€</w:t>
            </w:r>
          </w:p>
        </w:tc>
        <w:tc>
          <w:tcPr>
            <w:tcW w:w="2967" w:type="dxa"/>
          </w:tcPr>
          <w:p w14:paraId="036F7896" w14:textId="15EBBACC" w:rsidR="005B3040" w:rsidRPr="000120CB" w:rsidRDefault="00A02350" w:rsidP="00353258">
            <w:pPr>
              <w:pStyle w:val="Zkladntext2"/>
              <w:shd w:val="clear" w:color="auto" w:fill="auto"/>
              <w:rPr>
                <w:bCs/>
                <w:sz w:val="24"/>
                <w:szCs w:val="24"/>
                <w:u w:val="none"/>
              </w:rPr>
            </w:pPr>
            <w:r w:rsidRPr="000120CB">
              <w:rPr>
                <w:bCs/>
                <w:sz w:val="24"/>
                <w:szCs w:val="24"/>
                <w:u w:val="none"/>
              </w:rPr>
              <w:t>148 654</w:t>
            </w:r>
            <w:r w:rsidR="00FF26DF" w:rsidRPr="000120CB">
              <w:rPr>
                <w:bCs/>
                <w:sz w:val="24"/>
                <w:szCs w:val="24"/>
                <w:u w:val="none"/>
              </w:rPr>
              <w:t xml:space="preserve"> </w:t>
            </w:r>
            <w:r w:rsidR="00D0045E" w:rsidRPr="000120CB">
              <w:rPr>
                <w:bCs/>
                <w:sz w:val="24"/>
                <w:szCs w:val="24"/>
                <w:u w:val="none"/>
              </w:rPr>
              <w:t>€</w:t>
            </w:r>
          </w:p>
        </w:tc>
      </w:tr>
    </w:tbl>
    <w:p w14:paraId="5D7F2DDD" w14:textId="77777777" w:rsidR="00BB2462" w:rsidRDefault="00BB2462" w:rsidP="00BB2462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Na porovnanie:</w:t>
      </w:r>
    </w:p>
    <w:p w14:paraId="730F54F1" w14:textId="06495D63" w:rsidR="00BB2462" w:rsidRPr="00CC0808" w:rsidRDefault="00BB2462" w:rsidP="00BB2462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>kapitálové</w:t>
      </w:r>
      <w:r w:rsidRPr="00CC0808">
        <w:rPr>
          <w:b w:val="0"/>
          <w:sz w:val="24"/>
          <w:szCs w:val="24"/>
          <w:u w:val="none"/>
        </w:rPr>
        <w:t xml:space="preserve"> príjmy rozpočtu obce </w:t>
      </w:r>
      <w:r>
        <w:rPr>
          <w:b w:val="0"/>
          <w:sz w:val="24"/>
          <w:szCs w:val="24"/>
          <w:u w:val="none"/>
        </w:rPr>
        <w:t>na rok 202</w:t>
      </w:r>
      <w:r w:rsidR="000120CB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</w:t>
      </w:r>
      <w:r w:rsidRPr="00CC0808">
        <w:rPr>
          <w:b w:val="0"/>
          <w:sz w:val="24"/>
          <w:szCs w:val="24"/>
          <w:u w:val="none"/>
        </w:rPr>
        <w:t>predpok</w:t>
      </w:r>
      <w:r>
        <w:rPr>
          <w:b w:val="0"/>
          <w:sz w:val="24"/>
          <w:szCs w:val="24"/>
          <w:u w:val="none"/>
        </w:rPr>
        <w:t xml:space="preserve">ladajú </w:t>
      </w:r>
      <w:r w:rsidR="000120CB">
        <w:rPr>
          <w:b w:val="0"/>
          <w:sz w:val="24"/>
          <w:szCs w:val="24"/>
          <w:u w:val="none"/>
        </w:rPr>
        <w:t>pokles</w:t>
      </w:r>
      <w:r>
        <w:rPr>
          <w:b w:val="0"/>
          <w:sz w:val="24"/>
          <w:szCs w:val="24"/>
          <w:u w:val="none"/>
        </w:rPr>
        <w:t xml:space="preserve"> príjmov</w:t>
      </w:r>
      <w:r w:rsidR="000120CB">
        <w:rPr>
          <w:b w:val="0"/>
          <w:sz w:val="24"/>
          <w:szCs w:val="24"/>
          <w:u w:val="none"/>
        </w:rPr>
        <w:t xml:space="preserve"> – 394 297</w:t>
      </w:r>
      <w:r>
        <w:rPr>
          <w:b w:val="0"/>
          <w:sz w:val="24"/>
          <w:szCs w:val="24"/>
          <w:u w:val="none"/>
        </w:rPr>
        <w:t xml:space="preserve"> € oproti rozpočtu z roku 202</w:t>
      </w:r>
      <w:r w:rsidR="000120CB">
        <w:rPr>
          <w:b w:val="0"/>
          <w:sz w:val="24"/>
          <w:szCs w:val="24"/>
          <w:u w:val="none"/>
        </w:rPr>
        <w:t>3, predpokladaný príjem je z predaja pozemkov.</w:t>
      </w:r>
    </w:p>
    <w:p w14:paraId="2E3AA3B4" w14:textId="1CA55086" w:rsidR="00BB2462" w:rsidRDefault="00BB2462" w:rsidP="00BB2462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kapitálové výdavky rozpočtu obce na rok 202</w:t>
      </w:r>
      <w:r w:rsidR="000120CB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predpokladajú </w:t>
      </w:r>
      <w:r w:rsidR="00345E07">
        <w:rPr>
          <w:b w:val="0"/>
          <w:sz w:val="24"/>
          <w:szCs w:val="24"/>
          <w:u w:val="none"/>
        </w:rPr>
        <w:t>pokles</w:t>
      </w:r>
      <w:r>
        <w:rPr>
          <w:b w:val="0"/>
          <w:sz w:val="24"/>
          <w:szCs w:val="24"/>
          <w:u w:val="none"/>
        </w:rPr>
        <w:t xml:space="preserve"> výdavkov o</w:t>
      </w:r>
      <w:r w:rsidR="00345E07">
        <w:rPr>
          <w:b w:val="0"/>
          <w:sz w:val="24"/>
          <w:szCs w:val="24"/>
          <w:u w:val="none"/>
        </w:rPr>
        <w:t> 441 124</w:t>
      </w:r>
      <w:r>
        <w:rPr>
          <w:b w:val="0"/>
          <w:sz w:val="24"/>
          <w:szCs w:val="24"/>
          <w:u w:val="none"/>
        </w:rPr>
        <w:t xml:space="preserve"> € oproti rozpočtu z roku 202</w:t>
      </w:r>
      <w:r w:rsidR="000120CB">
        <w:rPr>
          <w:b w:val="0"/>
          <w:sz w:val="24"/>
          <w:szCs w:val="24"/>
          <w:u w:val="none"/>
        </w:rPr>
        <w:t>3</w:t>
      </w:r>
    </w:p>
    <w:p w14:paraId="384B4FAB" w14:textId="4462D78F" w:rsidR="00A120F2" w:rsidRPr="00CC0808" w:rsidRDefault="006D5FC4" w:rsidP="00867797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- kapitálový rozpočet</w:t>
      </w:r>
      <w:r w:rsidR="0010552B" w:rsidRPr="00CC0808">
        <w:rPr>
          <w:b w:val="0"/>
          <w:sz w:val="24"/>
          <w:szCs w:val="24"/>
          <w:u w:val="none"/>
        </w:rPr>
        <w:t xml:space="preserve">  je </w:t>
      </w:r>
      <w:r w:rsidR="000115B0" w:rsidRPr="00CC0808">
        <w:rPr>
          <w:b w:val="0"/>
          <w:sz w:val="24"/>
          <w:szCs w:val="24"/>
          <w:u w:val="none"/>
        </w:rPr>
        <w:t>schodkový vo výške</w:t>
      </w:r>
      <w:r w:rsidR="00F22404">
        <w:rPr>
          <w:b w:val="0"/>
          <w:sz w:val="24"/>
          <w:szCs w:val="24"/>
          <w:u w:val="none"/>
        </w:rPr>
        <w:t xml:space="preserve"> 1</w:t>
      </w:r>
      <w:r w:rsidR="00345E07">
        <w:rPr>
          <w:b w:val="0"/>
          <w:sz w:val="24"/>
          <w:szCs w:val="24"/>
          <w:u w:val="none"/>
        </w:rPr>
        <w:t>48 654</w:t>
      </w:r>
      <w:r w:rsidR="00F22404">
        <w:rPr>
          <w:b w:val="0"/>
          <w:sz w:val="24"/>
          <w:szCs w:val="24"/>
          <w:u w:val="none"/>
        </w:rPr>
        <w:t xml:space="preserve"> </w:t>
      </w:r>
      <w:r w:rsidRPr="00CC0808">
        <w:rPr>
          <w:b w:val="0"/>
          <w:sz w:val="24"/>
          <w:szCs w:val="24"/>
          <w:u w:val="none"/>
        </w:rPr>
        <w:t>€</w:t>
      </w:r>
      <w:r w:rsidR="004F15B3" w:rsidRPr="00CC0808">
        <w:rPr>
          <w:b w:val="0"/>
          <w:sz w:val="24"/>
          <w:szCs w:val="24"/>
          <w:u w:val="none"/>
        </w:rPr>
        <w:t>. S</w:t>
      </w:r>
      <w:r w:rsidRPr="00CC0808">
        <w:rPr>
          <w:b w:val="0"/>
          <w:sz w:val="24"/>
          <w:szCs w:val="24"/>
          <w:u w:val="none"/>
        </w:rPr>
        <w:t>chodok je k</w:t>
      </w:r>
      <w:r w:rsidR="004F15B3" w:rsidRPr="00CC0808">
        <w:rPr>
          <w:b w:val="0"/>
          <w:sz w:val="24"/>
          <w:szCs w:val="24"/>
          <w:u w:val="none"/>
        </w:rPr>
        <w:t>rytý prebytkom bežného</w:t>
      </w:r>
      <w:r w:rsidR="00732CFF">
        <w:rPr>
          <w:b w:val="0"/>
          <w:sz w:val="24"/>
          <w:szCs w:val="24"/>
          <w:u w:val="none"/>
        </w:rPr>
        <w:t xml:space="preserve"> rozpočtu, </w:t>
      </w:r>
      <w:r w:rsidR="004F15B3" w:rsidRPr="00CC0808">
        <w:rPr>
          <w:b w:val="0"/>
          <w:sz w:val="24"/>
          <w:szCs w:val="24"/>
          <w:u w:val="none"/>
        </w:rPr>
        <w:t xml:space="preserve">resp. návratnými zdrojmi financovania. </w:t>
      </w:r>
      <w:r w:rsidRPr="00CC0808">
        <w:rPr>
          <w:b w:val="0"/>
          <w:sz w:val="24"/>
          <w:szCs w:val="24"/>
          <w:u w:val="none"/>
        </w:rPr>
        <w:t xml:space="preserve"> </w:t>
      </w:r>
    </w:p>
    <w:p w14:paraId="3C3C25FE" w14:textId="77777777" w:rsidR="00532A2A" w:rsidRPr="00CC0808" w:rsidRDefault="00532A2A" w:rsidP="0001216A">
      <w:pPr>
        <w:pStyle w:val="Zkladntext2"/>
        <w:shd w:val="clear" w:color="auto" w:fill="FFFFFF"/>
        <w:rPr>
          <w:sz w:val="24"/>
          <w:szCs w:val="24"/>
          <w:u w:val="none"/>
        </w:rPr>
      </w:pPr>
    </w:p>
    <w:p w14:paraId="6A8A5710" w14:textId="77777777" w:rsidR="00A96CE0" w:rsidRPr="00CC0808" w:rsidRDefault="0001216A" w:rsidP="0001216A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sz w:val="24"/>
          <w:szCs w:val="24"/>
          <w:u w:val="none"/>
        </w:rPr>
        <w:t>D. ZÁKLADNÁ CHARAKTERISTIKA NÁVRHU ROZPOČTU</w:t>
      </w:r>
    </w:p>
    <w:p w14:paraId="583B0030" w14:textId="77777777" w:rsidR="00593982" w:rsidRDefault="00593982" w:rsidP="0001216A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</w:p>
    <w:p w14:paraId="6A83298C" w14:textId="77777777" w:rsidR="005B3040" w:rsidRPr="00CC0808" w:rsidRDefault="005B3040" w:rsidP="0001216A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Rozpočet obce Sihelné</w:t>
      </w:r>
      <w:r w:rsidR="009A1332" w:rsidRPr="00CC0808">
        <w:rPr>
          <w:b w:val="0"/>
          <w:sz w:val="24"/>
          <w:szCs w:val="24"/>
          <w:u w:val="none"/>
        </w:rPr>
        <w:t>,</w:t>
      </w:r>
      <w:r w:rsidRPr="00CC0808">
        <w:rPr>
          <w:b w:val="0"/>
          <w:sz w:val="24"/>
          <w:szCs w:val="24"/>
          <w:u w:val="none"/>
        </w:rPr>
        <w:t xml:space="preserve"> tak ako je navrhovaný, spĺňa podmienky zákona č.</w:t>
      </w:r>
      <w:r w:rsidR="006D4CB5" w:rsidRPr="00CC0808">
        <w:rPr>
          <w:b w:val="0"/>
          <w:sz w:val="24"/>
          <w:szCs w:val="24"/>
          <w:u w:val="none"/>
        </w:rPr>
        <w:t xml:space="preserve"> </w:t>
      </w:r>
      <w:r w:rsidRPr="00CC0808">
        <w:rPr>
          <w:b w:val="0"/>
          <w:sz w:val="24"/>
          <w:szCs w:val="24"/>
          <w:u w:val="none"/>
        </w:rPr>
        <w:t xml:space="preserve">583/2004 </w:t>
      </w:r>
      <w:proofErr w:type="spellStart"/>
      <w:r w:rsidRPr="00CC0808">
        <w:rPr>
          <w:b w:val="0"/>
          <w:sz w:val="24"/>
          <w:szCs w:val="24"/>
          <w:u w:val="none"/>
        </w:rPr>
        <w:t>Z.z</w:t>
      </w:r>
      <w:proofErr w:type="spellEnd"/>
      <w:r w:rsidRPr="00CC0808">
        <w:rPr>
          <w:b w:val="0"/>
          <w:sz w:val="24"/>
          <w:szCs w:val="24"/>
          <w:u w:val="none"/>
        </w:rPr>
        <w:t>. o rozpočtových pravidlách územnej samosprávy a o zmene a doplnení niektorých zákonov. Schodok kapitálového rozpočtu je k</w:t>
      </w:r>
      <w:r w:rsidR="00786282">
        <w:rPr>
          <w:b w:val="0"/>
          <w:sz w:val="24"/>
          <w:szCs w:val="24"/>
          <w:u w:val="none"/>
        </w:rPr>
        <w:t>rytý prebytkom bežného rozpočtu a finančnými operáciami,</w:t>
      </w:r>
      <w:r w:rsidRPr="00CC0808">
        <w:rPr>
          <w:b w:val="0"/>
          <w:sz w:val="24"/>
          <w:szCs w:val="24"/>
          <w:u w:val="none"/>
        </w:rPr>
        <w:t xml:space="preserve"> čím je splnená podmienka vyrovnanosti rozpočtu.</w:t>
      </w:r>
      <w:r w:rsidRPr="00CC0808">
        <w:rPr>
          <w:sz w:val="24"/>
          <w:szCs w:val="24"/>
          <w:u w:val="none"/>
        </w:rPr>
        <w:t xml:space="preserve"> </w:t>
      </w:r>
    </w:p>
    <w:p w14:paraId="44DDC038" w14:textId="43FEC2B6" w:rsidR="005B3040" w:rsidRPr="00CC0808" w:rsidRDefault="004A2B74" w:rsidP="005B3040">
      <w:pPr>
        <w:pStyle w:val="Zkladntext2"/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 Programový rozpočet na r</w:t>
      </w:r>
      <w:r w:rsidR="000B59DE">
        <w:rPr>
          <w:b w:val="0"/>
          <w:sz w:val="24"/>
          <w:szCs w:val="24"/>
          <w:u w:val="none"/>
        </w:rPr>
        <w:t>ok 202</w:t>
      </w:r>
      <w:r w:rsidR="00345E07">
        <w:rPr>
          <w:b w:val="0"/>
          <w:sz w:val="24"/>
          <w:szCs w:val="24"/>
          <w:u w:val="none"/>
        </w:rPr>
        <w:t>4</w:t>
      </w:r>
      <w:r w:rsidR="005B3040" w:rsidRPr="00CC0808">
        <w:rPr>
          <w:b w:val="0"/>
          <w:sz w:val="24"/>
          <w:szCs w:val="24"/>
          <w:u w:val="none"/>
        </w:rPr>
        <w:t xml:space="preserve"> predstavuje 13 programov:</w:t>
      </w:r>
    </w:p>
    <w:p w14:paraId="0A23EE74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Plánovanie, manažment a kontrola,</w:t>
      </w:r>
    </w:p>
    <w:p w14:paraId="1F7F7DE8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Propagácia a marketing, </w:t>
      </w:r>
    </w:p>
    <w:p w14:paraId="790DF5BC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Interné služby,</w:t>
      </w:r>
    </w:p>
    <w:p w14:paraId="27991FF0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Služby občanom,</w:t>
      </w:r>
    </w:p>
    <w:p w14:paraId="386B10BB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Bezpečnosť, právo a poriadok, </w:t>
      </w:r>
    </w:p>
    <w:p w14:paraId="7E6DA7E7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Odpadové hospodárstvo, </w:t>
      </w:r>
    </w:p>
    <w:p w14:paraId="4FCF3E2E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Komunikácie, </w:t>
      </w:r>
    </w:p>
    <w:p w14:paraId="5C914EE3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Vzdelanie,</w:t>
      </w:r>
    </w:p>
    <w:p w14:paraId="4D8C550C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Šport, </w:t>
      </w:r>
    </w:p>
    <w:p w14:paraId="1BA78D7F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Kultúra,</w:t>
      </w:r>
    </w:p>
    <w:p w14:paraId="05EBF657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>Prostredie,</w:t>
      </w:r>
    </w:p>
    <w:p w14:paraId="485619BB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Sociálne služby, </w:t>
      </w:r>
    </w:p>
    <w:p w14:paraId="2A2608A1" w14:textId="77777777" w:rsidR="005B3040" w:rsidRPr="00CC0808" w:rsidRDefault="005B3040" w:rsidP="005B3040">
      <w:pPr>
        <w:pStyle w:val="Zkladntext2"/>
        <w:numPr>
          <w:ilvl w:val="0"/>
          <w:numId w:val="3"/>
        </w:numPr>
        <w:shd w:val="clear" w:color="auto" w:fill="FFFFFF"/>
        <w:jc w:val="left"/>
        <w:rPr>
          <w:b w:val="0"/>
          <w:sz w:val="24"/>
          <w:szCs w:val="24"/>
          <w:u w:val="none"/>
        </w:rPr>
      </w:pPr>
      <w:r w:rsidRPr="00CC0808">
        <w:rPr>
          <w:b w:val="0"/>
          <w:sz w:val="24"/>
          <w:szCs w:val="24"/>
          <w:u w:val="none"/>
        </w:rPr>
        <w:t xml:space="preserve">Administratíva, </w:t>
      </w:r>
    </w:p>
    <w:p w14:paraId="1025DF55" w14:textId="77777777" w:rsidR="005B3040" w:rsidRPr="00CC0808" w:rsidRDefault="005B3040" w:rsidP="005B3040">
      <w:pPr>
        <w:pStyle w:val="Zkladntext2"/>
        <w:shd w:val="clear" w:color="auto" w:fill="FFFFFF"/>
        <w:ind w:left="360"/>
        <w:jc w:val="left"/>
        <w:rPr>
          <w:b w:val="0"/>
          <w:color w:val="FF0000"/>
          <w:sz w:val="24"/>
          <w:szCs w:val="24"/>
          <w:u w:val="none"/>
        </w:rPr>
      </w:pPr>
      <w:r w:rsidRPr="00CC0808">
        <w:rPr>
          <w:b w:val="0"/>
          <w:color w:val="FF0000"/>
          <w:sz w:val="24"/>
          <w:szCs w:val="24"/>
          <w:u w:val="none"/>
        </w:rPr>
        <w:t xml:space="preserve"> </w:t>
      </w:r>
    </w:p>
    <w:p w14:paraId="17F5875D" w14:textId="77777777" w:rsidR="0001216A" w:rsidRDefault="0001216A" w:rsidP="005B3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808">
        <w:rPr>
          <w:rFonts w:ascii="Times New Roman" w:hAnsi="Times New Roman" w:cs="Times New Roman"/>
          <w:b/>
          <w:sz w:val="24"/>
          <w:szCs w:val="24"/>
          <w:u w:val="single"/>
        </w:rPr>
        <w:t>ROZPOČET PRÍJMOV</w:t>
      </w:r>
    </w:p>
    <w:p w14:paraId="4156B933" w14:textId="77777777" w:rsidR="00CD11FC" w:rsidRPr="00CC0808" w:rsidRDefault="00CD11FC" w:rsidP="005B3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0BBF22" w14:textId="0386FA29" w:rsidR="00CC63F2" w:rsidRPr="00CC0808" w:rsidRDefault="008A3F25" w:rsidP="00A96CE0">
      <w:pPr>
        <w:pStyle w:val="Default"/>
      </w:pPr>
      <w:r w:rsidRPr="00CC0808">
        <w:rPr>
          <w:b/>
        </w:rPr>
        <w:t>V bežných príjmoch</w:t>
      </w:r>
      <w:r w:rsidRPr="00CC0808">
        <w:t xml:space="preserve"> obec</w:t>
      </w:r>
      <w:r w:rsidR="00867797" w:rsidRPr="00CC0808">
        <w:t xml:space="preserve"> </w:t>
      </w:r>
      <w:r w:rsidR="009A1332" w:rsidRPr="00CC0808">
        <w:t>predpokladá</w:t>
      </w:r>
      <w:r w:rsidR="004A2B74" w:rsidRPr="00CC0808">
        <w:t xml:space="preserve"> </w:t>
      </w:r>
      <w:r w:rsidR="00EC16AC">
        <w:t>z</w:t>
      </w:r>
      <w:r w:rsidR="00F22404">
        <w:t>výšenie</w:t>
      </w:r>
      <w:r w:rsidR="00EC16AC">
        <w:t xml:space="preserve"> </w:t>
      </w:r>
      <w:r w:rsidR="00A120F2" w:rsidRPr="00CC0808">
        <w:t>príjmov</w:t>
      </w:r>
      <w:r w:rsidR="00732CFF">
        <w:t xml:space="preserve"> o</w:t>
      </w:r>
      <w:r w:rsidR="00F22404">
        <w:rPr>
          <w:b/>
        </w:rPr>
        <w:t> </w:t>
      </w:r>
      <w:r w:rsidR="00FA018B" w:rsidRPr="00FA018B">
        <w:rPr>
          <w:b/>
        </w:rPr>
        <w:t xml:space="preserve">113 962 </w:t>
      </w:r>
      <w:r w:rsidR="00561170" w:rsidRPr="00FA018B">
        <w:rPr>
          <w:b/>
        </w:rPr>
        <w:t>€</w:t>
      </w:r>
      <w:r w:rsidR="00561170" w:rsidRPr="00CC0808">
        <w:t xml:space="preserve"> </w:t>
      </w:r>
      <w:r w:rsidR="00BD4FFA" w:rsidRPr="00CC0808">
        <w:t>oproti rozpo</w:t>
      </w:r>
      <w:r w:rsidR="000B59DE">
        <w:t>čtu z roku 202</w:t>
      </w:r>
      <w:r w:rsidR="00FA018B">
        <w:t>3</w:t>
      </w:r>
      <w:r w:rsidR="00D64141" w:rsidRPr="00CC0808">
        <w:t>.</w:t>
      </w:r>
      <w:r w:rsidR="000B37F1" w:rsidRPr="00CC0808">
        <w:t xml:space="preserve"> </w:t>
      </w:r>
      <w:r w:rsidR="00EC16AC">
        <w:t>Z</w:t>
      </w:r>
      <w:r w:rsidR="00F22404">
        <w:t>výš</w:t>
      </w:r>
      <w:r w:rsidR="00EC16AC">
        <w:t xml:space="preserve">enie nastalo v tuzemských transferoch, </w:t>
      </w:r>
      <w:r w:rsidR="00F22404">
        <w:t xml:space="preserve">výnos </w:t>
      </w:r>
      <w:r w:rsidR="004A2B74" w:rsidRPr="00CC0808">
        <w:t xml:space="preserve">dane </w:t>
      </w:r>
      <w:r w:rsidR="00786282">
        <w:t xml:space="preserve">poukázanej územnej samospráve zo štátu, tzv. podielová daň zo štátneho rozpočtu, </w:t>
      </w:r>
      <w:r w:rsidR="00A96CE0" w:rsidRPr="00CC0808">
        <w:rPr>
          <w:bCs/>
        </w:rPr>
        <w:t xml:space="preserve">ktoré  </w:t>
      </w:r>
      <w:r w:rsidR="00A96CE0" w:rsidRPr="00CC0808">
        <w:t>tvoria najstabilnejšiu a najvýznamnej</w:t>
      </w:r>
      <w:r w:rsidR="00786282">
        <w:t>šiu zložku rozpočtu samosprávy</w:t>
      </w:r>
      <w:r w:rsidR="00F22404">
        <w:t>, mierne zvýšenie</w:t>
      </w:r>
      <w:r w:rsidR="006D0487">
        <w:t xml:space="preserve"> príjmov</w:t>
      </w:r>
      <w:r w:rsidR="00F22404">
        <w:t xml:space="preserve"> o 5 % </w:t>
      </w:r>
      <w:r w:rsidR="006D0487">
        <w:t xml:space="preserve">nastalo </w:t>
      </w:r>
      <w:r w:rsidR="00F22404">
        <w:t>vo všetkých položkách</w:t>
      </w:r>
      <w:r w:rsidR="00893D49">
        <w:t>,</w:t>
      </w:r>
      <w:r w:rsidR="0060395D">
        <w:t xml:space="preserve"> výraznejší príjem je z plán obnovy v MŠ, daň za komunálny odpad, poplatky za teplo, poplatky za hnuteľný majetok, </w:t>
      </w:r>
      <w:proofErr w:type="spellStart"/>
      <w:r w:rsidR="0060395D">
        <w:t>envirofond</w:t>
      </w:r>
      <w:proofErr w:type="spellEnd"/>
      <w:r w:rsidR="0060395D">
        <w:t xml:space="preserve">, poplatky za stravné, </w:t>
      </w:r>
      <w:proofErr w:type="spellStart"/>
      <w:r w:rsidR="0060395D">
        <w:t>transfér</w:t>
      </w:r>
      <w:proofErr w:type="spellEnd"/>
      <w:r w:rsidR="0060395D">
        <w:t xml:space="preserve"> hasiči.</w:t>
      </w:r>
    </w:p>
    <w:p w14:paraId="372CB781" w14:textId="3B071399" w:rsidR="00403AFC" w:rsidRDefault="008A3F25" w:rsidP="008A3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CC0808">
        <w:rPr>
          <w:rFonts w:ascii="Times New Roman" w:hAnsi="Times New Roman" w:cs="Times New Roman"/>
          <w:b/>
          <w:bCs/>
          <w:sz w:val="24"/>
          <w:szCs w:val="24"/>
        </w:rPr>
        <w:t xml:space="preserve">kapitálových príjmoch </w:t>
      </w:r>
      <w:r w:rsidR="002F24FF">
        <w:rPr>
          <w:rFonts w:ascii="Times New Roman" w:hAnsi="Times New Roman" w:cs="Times New Roman"/>
          <w:sz w:val="24"/>
          <w:szCs w:val="24"/>
        </w:rPr>
        <w:t xml:space="preserve">rozpočtuje obec </w:t>
      </w:r>
      <w:r w:rsidRPr="00CC0808">
        <w:rPr>
          <w:rFonts w:ascii="Times New Roman" w:hAnsi="Times New Roman" w:cs="Times New Roman"/>
          <w:sz w:val="24"/>
          <w:szCs w:val="24"/>
        </w:rPr>
        <w:t>príje</w:t>
      </w:r>
      <w:r w:rsidR="002F24FF">
        <w:rPr>
          <w:rFonts w:ascii="Times New Roman" w:hAnsi="Times New Roman" w:cs="Times New Roman"/>
          <w:sz w:val="24"/>
          <w:szCs w:val="24"/>
        </w:rPr>
        <w:t>m z</w:t>
      </w:r>
      <w:r w:rsidR="00403AFC">
        <w:rPr>
          <w:rFonts w:ascii="Times New Roman" w:hAnsi="Times New Roman" w:cs="Times New Roman"/>
          <w:sz w:val="24"/>
          <w:szCs w:val="24"/>
        </w:rPr>
        <w:t> predpokladaného predaja obecných pozemkov</w:t>
      </w:r>
      <w:r w:rsidR="00893D49">
        <w:rPr>
          <w:rFonts w:ascii="Times New Roman" w:hAnsi="Times New Roman" w:cs="Times New Roman"/>
          <w:sz w:val="24"/>
          <w:szCs w:val="24"/>
        </w:rPr>
        <w:t>.</w:t>
      </w:r>
    </w:p>
    <w:p w14:paraId="7BC1B882" w14:textId="6DC5BA4B" w:rsidR="008A3F25" w:rsidRPr="00CC0808" w:rsidRDefault="008A3F25" w:rsidP="008A3F25">
      <w:pPr>
        <w:pStyle w:val="Zkladntext2"/>
        <w:shd w:val="clear" w:color="auto" w:fill="FFFFFF"/>
        <w:rPr>
          <w:b w:val="0"/>
          <w:sz w:val="24"/>
          <w:szCs w:val="24"/>
          <w:u w:val="none"/>
        </w:rPr>
      </w:pPr>
      <w:r w:rsidRPr="00CC0808">
        <w:rPr>
          <w:bCs/>
          <w:sz w:val="24"/>
          <w:szCs w:val="24"/>
          <w:u w:val="none"/>
        </w:rPr>
        <w:t>V príjmových finančných operáciách</w:t>
      </w:r>
      <w:r w:rsidRPr="00CC0808">
        <w:rPr>
          <w:b w:val="0"/>
          <w:bCs/>
          <w:sz w:val="24"/>
          <w:szCs w:val="24"/>
          <w:u w:val="none"/>
        </w:rPr>
        <w:t xml:space="preserve"> </w:t>
      </w:r>
      <w:r w:rsidR="00C71CBD">
        <w:rPr>
          <w:b w:val="0"/>
          <w:bCs/>
          <w:sz w:val="24"/>
          <w:szCs w:val="24"/>
          <w:u w:val="none"/>
        </w:rPr>
        <w:t>sa nerozpočtoval</w:t>
      </w:r>
      <w:r w:rsidR="00553611">
        <w:rPr>
          <w:b w:val="0"/>
          <w:bCs/>
          <w:sz w:val="24"/>
          <w:szCs w:val="24"/>
          <w:u w:val="none"/>
        </w:rPr>
        <w:t>o</w:t>
      </w:r>
      <w:r w:rsidR="00C71CBD">
        <w:rPr>
          <w:b w:val="0"/>
          <w:bCs/>
          <w:sz w:val="24"/>
          <w:szCs w:val="24"/>
          <w:u w:val="none"/>
        </w:rPr>
        <w:t>.</w:t>
      </w:r>
    </w:p>
    <w:p w14:paraId="51D05C45" w14:textId="77777777" w:rsidR="002F24FF" w:rsidRDefault="002F24FF" w:rsidP="0093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70A573" w14:textId="77777777" w:rsidR="00A120F2" w:rsidRDefault="0001216A" w:rsidP="0093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808">
        <w:rPr>
          <w:rFonts w:ascii="Times New Roman" w:hAnsi="Times New Roman" w:cs="Times New Roman"/>
          <w:b/>
          <w:sz w:val="24"/>
          <w:szCs w:val="24"/>
          <w:u w:val="single"/>
        </w:rPr>
        <w:t>ROZPOČET VÝDAVKOV</w:t>
      </w:r>
    </w:p>
    <w:p w14:paraId="1987F336" w14:textId="77777777" w:rsidR="00CD11FC" w:rsidRPr="00CC0808" w:rsidRDefault="00CD11FC" w:rsidP="0093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78CBA1" w14:textId="390817B6" w:rsidR="00476083" w:rsidRDefault="009677C2" w:rsidP="00BB4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>V bežných výdavkoch</w:t>
      </w:r>
      <w:r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CC63F2" w:rsidRPr="00CC0808">
        <w:rPr>
          <w:rFonts w:ascii="Times New Roman" w:hAnsi="Times New Roman" w:cs="Times New Roman"/>
          <w:sz w:val="24"/>
          <w:szCs w:val="24"/>
        </w:rPr>
        <w:t>obce</w:t>
      </w:r>
      <w:r w:rsidR="00867797"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C82DB4" w:rsidRPr="00CC0808">
        <w:rPr>
          <w:rFonts w:ascii="Times New Roman" w:hAnsi="Times New Roman" w:cs="Times New Roman"/>
          <w:sz w:val="24"/>
          <w:szCs w:val="24"/>
        </w:rPr>
        <w:t>pre</w:t>
      </w:r>
      <w:r w:rsidR="004A2B74" w:rsidRPr="00CC0808">
        <w:rPr>
          <w:rFonts w:ascii="Times New Roman" w:hAnsi="Times New Roman" w:cs="Times New Roman"/>
          <w:sz w:val="24"/>
          <w:szCs w:val="24"/>
        </w:rPr>
        <w:t>dpokladá</w:t>
      </w:r>
      <w:r w:rsidR="00553611">
        <w:rPr>
          <w:rFonts w:ascii="Times New Roman" w:hAnsi="Times New Roman" w:cs="Times New Roman"/>
          <w:sz w:val="24"/>
          <w:szCs w:val="24"/>
        </w:rPr>
        <w:t xml:space="preserve"> </w:t>
      </w:r>
      <w:r w:rsidR="0023428B">
        <w:rPr>
          <w:rFonts w:ascii="Times New Roman" w:hAnsi="Times New Roman" w:cs="Times New Roman"/>
          <w:sz w:val="24"/>
          <w:szCs w:val="24"/>
        </w:rPr>
        <w:t>z</w:t>
      </w:r>
      <w:r w:rsidR="00553611">
        <w:rPr>
          <w:rFonts w:ascii="Times New Roman" w:hAnsi="Times New Roman" w:cs="Times New Roman"/>
          <w:sz w:val="24"/>
          <w:szCs w:val="24"/>
        </w:rPr>
        <w:t>výšenie</w:t>
      </w:r>
      <w:r w:rsidR="0023428B">
        <w:rPr>
          <w:rFonts w:ascii="Times New Roman" w:hAnsi="Times New Roman" w:cs="Times New Roman"/>
          <w:sz w:val="24"/>
          <w:szCs w:val="24"/>
        </w:rPr>
        <w:t xml:space="preserve"> </w:t>
      </w:r>
      <w:r w:rsidR="00A120F2" w:rsidRPr="00CC0808">
        <w:rPr>
          <w:rFonts w:ascii="Times New Roman" w:hAnsi="Times New Roman" w:cs="Times New Roman"/>
          <w:sz w:val="24"/>
          <w:szCs w:val="24"/>
        </w:rPr>
        <w:t xml:space="preserve">výdavkov </w:t>
      </w:r>
      <w:r w:rsidR="004A2B74" w:rsidRPr="00CC0808">
        <w:rPr>
          <w:rFonts w:ascii="Times New Roman" w:hAnsi="Times New Roman" w:cs="Times New Roman"/>
          <w:sz w:val="24"/>
          <w:szCs w:val="24"/>
        </w:rPr>
        <w:t>v </w:t>
      </w:r>
      <w:r w:rsidR="004A2B74" w:rsidRPr="002F24FF">
        <w:rPr>
          <w:rFonts w:ascii="Times New Roman" w:hAnsi="Times New Roman" w:cs="Times New Roman"/>
          <w:sz w:val="24"/>
          <w:szCs w:val="24"/>
        </w:rPr>
        <w:t xml:space="preserve">sume </w:t>
      </w:r>
      <w:r w:rsidR="00FA018B" w:rsidRPr="0060395D">
        <w:rPr>
          <w:rFonts w:ascii="Times New Roman" w:hAnsi="Times New Roman" w:cs="Times New Roman"/>
          <w:b/>
          <w:bCs/>
          <w:sz w:val="24"/>
          <w:szCs w:val="24"/>
        </w:rPr>
        <w:t>166 110</w:t>
      </w:r>
      <w:r w:rsidR="0023428B" w:rsidRPr="0060395D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="0023428B">
        <w:rPr>
          <w:sz w:val="24"/>
          <w:szCs w:val="24"/>
        </w:rPr>
        <w:t xml:space="preserve"> </w:t>
      </w:r>
      <w:r w:rsidR="002F24FF">
        <w:rPr>
          <w:rFonts w:ascii="Times New Roman" w:hAnsi="Times New Roman" w:cs="Times New Roman"/>
          <w:sz w:val="24"/>
          <w:szCs w:val="24"/>
        </w:rPr>
        <w:t>oproti rozpočtu z roku 202</w:t>
      </w:r>
      <w:r w:rsidR="00FA018B">
        <w:rPr>
          <w:rFonts w:ascii="Times New Roman" w:hAnsi="Times New Roman" w:cs="Times New Roman"/>
          <w:sz w:val="24"/>
          <w:szCs w:val="24"/>
        </w:rPr>
        <w:t>3</w:t>
      </w:r>
      <w:r w:rsidR="00CC63F2" w:rsidRPr="00CC0808">
        <w:rPr>
          <w:rFonts w:ascii="Times New Roman" w:hAnsi="Times New Roman" w:cs="Times New Roman"/>
          <w:sz w:val="24"/>
          <w:szCs w:val="24"/>
        </w:rPr>
        <w:t xml:space="preserve">. </w:t>
      </w:r>
      <w:r w:rsidR="00936A91" w:rsidRPr="00CC0808">
        <w:rPr>
          <w:rFonts w:ascii="Times New Roman" w:hAnsi="Times New Roman" w:cs="Times New Roman"/>
          <w:sz w:val="24"/>
          <w:szCs w:val="24"/>
        </w:rPr>
        <w:t xml:space="preserve">Návrh viacročného rozpočtu výdavkov tvoria bežné a kapitálové výdavky, ktoré majú z hľadiska funkčnej klasifikácie nasledovnú štruktúru. </w:t>
      </w:r>
      <w:r w:rsidR="002F24F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36A91" w:rsidRPr="00CC0808">
        <w:rPr>
          <w:rFonts w:ascii="Times New Roman" w:hAnsi="Times New Roman" w:cs="Times New Roman"/>
          <w:sz w:val="24"/>
          <w:szCs w:val="24"/>
        </w:rPr>
        <w:t>Prehľ</w:t>
      </w:r>
      <w:r w:rsidR="00A96CE0" w:rsidRPr="00CC0808">
        <w:rPr>
          <w:rFonts w:ascii="Times New Roman" w:hAnsi="Times New Roman" w:cs="Times New Roman"/>
          <w:sz w:val="24"/>
          <w:szCs w:val="24"/>
        </w:rPr>
        <w:t>ad vývoja výdavkov v programovej</w:t>
      </w:r>
      <w:r w:rsidR="00936A91"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A96CE0" w:rsidRPr="00CC0808">
        <w:rPr>
          <w:rFonts w:ascii="Times New Roman" w:hAnsi="Times New Roman" w:cs="Times New Roman"/>
          <w:sz w:val="24"/>
          <w:szCs w:val="24"/>
        </w:rPr>
        <w:t>štruktúre rozpočtu</w:t>
      </w:r>
      <w:r w:rsidR="00936A91" w:rsidRPr="00CC0808">
        <w:rPr>
          <w:rFonts w:ascii="Times New Roman" w:hAnsi="Times New Roman" w:cs="Times New Roman"/>
          <w:sz w:val="24"/>
          <w:szCs w:val="24"/>
        </w:rPr>
        <w:t xml:space="preserve"> za nasledujúce obdobie.</w:t>
      </w:r>
      <w:r w:rsidR="00476083">
        <w:rPr>
          <w:rFonts w:ascii="Times New Roman" w:hAnsi="Times New Roman" w:cs="Times New Roman"/>
          <w:sz w:val="24"/>
          <w:szCs w:val="24"/>
        </w:rPr>
        <w:t xml:space="preserve"> Viď tabuľka.</w:t>
      </w:r>
      <w:r w:rsidR="00C4267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9E9ACBF" w14:textId="06A99CF8" w:rsidR="00EF4EFA" w:rsidRDefault="00EF4EFA" w:rsidP="00A9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51366034"/>
      <w:bookmarkStart w:id="4" w:name="_Hlk151365967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3494"/>
        <w:gridCol w:w="992"/>
        <w:gridCol w:w="1134"/>
        <w:gridCol w:w="1134"/>
        <w:gridCol w:w="1134"/>
        <w:gridCol w:w="1276"/>
      </w:tblGrid>
      <w:tr w:rsidR="005C367B" w:rsidRPr="00CC0808" w14:paraId="480187C8" w14:textId="77777777" w:rsidTr="00FA018B">
        <w:trPr>
          <w:trHeight w:val="98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bookmarkEnd w:id="3"/>
          <w:bookmarkEnd w:id="4"/>
          <w:p w14:paraId="72889629" w14:textId="77777777" w:rsidR="005C367B" w:rsidRPr="00CC0808" w:rsidRDefault="005C367B" w:rsidP="006669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5905D" w14:textId="77777777" w:rsidR="005C367B" w:rsidRPr="00CC0808" w:rsidRDefault="005C367B" w:rsidP="006669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B02828" w14:textId="77777777" w:rsidR="005C367B" w:rsidRPr="00CC0808" w:rsidRDefault="005C367B" w:rsidP="006669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rozpočtu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porovnanie výdavkov z minulých rokov</w:t>
            </w:r>
          </w:p>
        </w:tc>
      </w:tr>
      <w:tr w:rsidR="00921878" w:rsidRPr="00CC0808" w14:paraId="18C2D54D" w14:textId="7DC485D6" w:rsidTr="00FA018B">
        <w:trPr>
          <w:trHeight w:val="430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542A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92C50C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20FB8" w14:textId="1D1EBBB2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F1ECB9" w14:textId="2C34CF1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1337BF" w14:textId="43073FA3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4E5940" w14:textId="44CEF1E3" w:rsidR="0092187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4F5275" w14:textId="6A333582" w:rsidR="0092187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921878" w:rsidRPr="00CC0808" w14:paraId="45350425" w14:textId="391B4C1D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B7C7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007BD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Plánovanie, manažment a kontrola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61061" w14:textId="3F1369AA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6DF4A75" w14:textId="00F96161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382FAA" w14:textId="08211D18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895956" w14:textId="52225BA5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43C6E1" w14:textId="2BE1457B" w:rsidR="00921878" w:rsidRDefault="0060395D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117 591</w:t>
            </w:r>
          </w:p>
        </w:tc>
      </w:tr>
      <w:tr w:rsidR="00921878" w:rsidRPr="00CC0808" w14:paraId="5C7DC51B" w14:textId="2E31977B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D95C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5B50B3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Propagácia a reklama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0A35" w14:textId="64D937B6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BE81D8" w14:textId="7A19664E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883F91" w14:textId="7965E321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FB8082" w14:textId="3E2C3D76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8D192F" w14:textId="09756CAC" w:rsidR="00921878" w:rsidRDefault="0060395D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6 352</w:t>
            </w:r>
          </w:p>
        </w:tc>
      </w:tr>
      <w:tr w:rsidR="00921878" w:rsidRPr="00CC0808" w14:paraId="2504617A" w14:textId="230BEF33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7A64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74982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 Interné služby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5E6FC" w14:textId="156C9A4D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92 992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BCB06AC" w14:textId="3B76B4A6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CBC602" w14:textId="54C758C8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781D2F" w14:textId="423EB168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E44A2D" w14:textId="37545193" w:rsidR="00921878" w:rsidRDefault="0060395D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82 546</w:t>
            </w:r>
          </w:p>
        </w:tc>
      </w:tr>
      <w:tr w:rsidR="00921878" w:rsidRPr="00CC0808" w14:paraId="24410C3F" w14:textId="1FFE613D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5126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1F1C0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Služby občanom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897B" w14:textId="026827F6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EA2C3F" w14:textId="53FD227D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B02A68" w14:textId="7EA5CACB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579020" w14:textId="7A28BEF1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E5202C" w14:textId="490FF18B" w:rsidR="00921878" w:rsidRDefault="00750EB6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185 114</w:t>
            </w:r>
          </w:p>
        </w:tc>
      </w:tr>
      <w:tr w:rsidR="00921878" w:rsidRPr="00CC0808" w14:paraId="138DA18B" w14:textId="7D102EF8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80A9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7C0F1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Bezpečnosť, právo a poriadok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165F8" w14:textId="70D1AD61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41B6E2" w14:textId="3120FB9D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11C322" w14:textId="3961BB4B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77D0AF" w14:textId="513F518E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E6CB04" w14:textId="674850E8" w:rsidR="00921878" w:rsidRDefault="00750EB6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16 387</w:t>
            </w:r>
          </w:p>
        </w:tc>
      </w:tr>
      <w:tr w:rsidR="00921878" w:rsidRPr="00CC0808" w14:paraId="099047AF" w14:textId="61073A15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0E6A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E4C5D5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Odpadové hospodárstvo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15617" w14:textId="08EC3D2A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906D58" w14:textId="59618695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BFC3A0" w14:textId="755AF54C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C0C69E" w14:textId="05289147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4C2B8A" w14:textId="138DFA11" w:rsidR="00921878" w:rsidRDefault="00834472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68 604 </w:t>
            </w:r>
          </w:p>
        </w:tc>
      </w:tr>
      <w:tr w:rsidR="00921878" w:rsidRPr="00CC0808" w14:paraId="65CF355B" w14:textId="1E2F4D43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C575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16253F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Komunikácie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2F005" w14:textId="69F32F4D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0ECD40" w14:textId="0D74E616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E4FD7F" w14:textId="3D8168A2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DDC4AE" w14:textId="0059F85C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B3CE32" w14:textId="6DE873A0" w:rsidR="00921878" w:rsidRDefault="00834472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5 499</w:t>
            </w:r>
          </w:p>
        </w:tc>
      </w:tr>
      <w:tr w:rsidR="00921878" w:rsidRPr="00CC0808" w14:paraId="08ECD31D" w14:textId="67FA193F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BE59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93173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E824E" w14:textId="316A7BE8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79EDD6" w14:textId="58AB994E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A5FC31" w14:textId="2897EACA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A84A" w14:textId="1699914E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334 204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771DD" w14:textId="7BFC5CE8" w:rsidR="00921878" w:rsidRDefault="007752E9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B0C65">
              <w:rPr>
                <w:rFonts w:ascii="Times New Roman" w:hAnsi="Times New Roman" w:cs="Times New Roman"/>
                <w:sz w:val="24"/>
                <w:szCs w:val="24"/>
              </w:rPr>
              <w:t>1 356</w:t>
            </w:r>
          </w:p>
        </w:tc>
      </w:tr>
      <w:tr w:rsidR="00921878" w:rsidRPr="00CC0808" w14:paraId="0C3661B9" w14:textId="32C7D4F2" w:rsidTr="00FA018B">
        <w:trPr>
          <w:trHeight w:val="43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A3CE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7C604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Šport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1784F7" w14:textId="5D205270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3754AD74" w14:textId="4A2531D5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8F1E0C" w14:textId="67171C59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808334" w14:textId="22831B89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29 985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412175" w14:textId="6BCF5BF3" w:rsidR="00921878" w:rsidRDefault="005B0C65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32 023</w:t>
            </w:r>
          </w:p>
        </w:tc>
      </w:tr>
      <w:tr w:rsidR="00921878" w:rsidRPr="00CC0808" w14:paraId="0BF01346" w14:textId="58AD46CD" w:rsidTr="00FA018B">
        <w:trPr>
          <w:trHeight w:val="43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A531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80F802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Kultúra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677D9" w14:textId="746D7C55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350C56F" w14:textId="0FF592D2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B2E1B4" w14:textId="7CA781C8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89A0F2" w14:textId="1AC426CC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53 525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821EF6" w14:textId="687113CE" w:rsidR="00921878" w:rsidRDefault="00FC5B62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39 324</w:t>
            </w:r>
          </w:p>
        </w:tc>
      </w:tr>
      <w:tr w:rsidR="00921878" w:rsidRPr="00CC0808" w14:paraId="059A3B2E" w14:textId="3CEA79D7" w:rsidTr="00FA018B">
        <w:trPr>
          <w:trHeight w:val="43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101E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6FE68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Prostredie pre život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25E0C" w14:textId="2747B8D3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7CEACBA" w14:textId="5B0E3EFB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C54884" w14:textId="412AD4BC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BCDFE" w14:textId="72111348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5108F9" w14:textId="4C4B98DF" w:rsidR="00921878" w:rsidRDefault="00FC5B62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24 621</w:t>
            </w:r>
          </w:p>
        </w:tc>
      </w:tr>
      <w:tr w:rsidR="00921878" w:rsidRPr="00CC0808" w14:paraId="31DCA525" w14:textId="61D1E018" w:rsidTr="00FA018B">
        <w:trPr>
          <w:trHeight w:val="43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0624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15B6B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Sociálne služby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3C24F" w14:textId="058A3885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4D2266B" w14:textId="4C9301F8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18A8EB" w14:textId="23300C89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15153D" w14:textId="141DB3AF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27 962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8ED5EE" w14:textId="3DF8C180" w:rsidR="00921878" w:rsidRDefault="00FC5B62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29 360</w:t>
            </w:r>
          </w:p>
        </w:tc>
      </w:tr>
      <w:tr w:rsidR="00921878" w:rsidRPr="00CC0808" w14:paraId="4D1AA1C1" w14:textId="41B1E3CD" w:rsidTr="00FA018B">
        <w:trPr>
          <w:trHeight w:val="43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4A10" w14:textId="77777777" w:rsidR="00921878" w:rsidRPr="00CC0808" w:rsidRDefault="00921878" w:rsidP="0092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E4EE8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Administratíva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2F9D4" w14:textId="22A6ECD5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670039" w14:textId="3EBF5851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806C1D" w14:textId="055DAE41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155 963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C07379" w14:textId="5283043C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163 763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7D0F3B" w14:textId="119BB4F4" w:rsidR="00921878" w:rsidRDefault="00E24DFA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175 876</w:t>
            </w:r>
          </w:p>
        </w:tc>
      </w:tr>
      <w:tr w:rsidR="00921878" w:rsidRPr="00CC0808" w14:paraId="368A8941" w14:textId="38BE2985" w:rsidTr="00FA018B">
        <w:trPr>
          <w:trHeight w:val="430"/>
        </w:trPr>
        <w:tc>
          <w:tcPr>
            <w:tcW w:w="4126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C36D1" w14:textId="77777777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Bežné výdavky spolu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0402A" w14:textId="1687825A" w:rsidR="00921878" w:rsidRPr="00CC080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957 540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A6998" w14:textId="134843FB" w:rsidR="00921878" w:rsidRPr="00CC0808" w:rsidRDefault="00921878" w:rsidP="009218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1 036 358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14:paraId="60B1B9FE" w14:textId="3D7B6CDC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1 007 279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14:paraId="1D3933F2" w14:textId="1D8746A7" w:rsidR="00921878" w:rsidRDefault="00921878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1 098 543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14:paraId="724B9A0C" w14:textId="35626814" w:rsidR="00921878" w:rsidRDefault="00FA018B" w:rsidP="009218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1 264 6</w:t>
            </w:r>
            <w:r w:rsidR="00E24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6F5E6BEA" w14:textId="3DD2473A" w:rsidR="00BC7CE8" w:rsidRDefault="00BC7CE8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FEC1F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Výraznejšie výdavky nastali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C0808">
        <w:rPr>
          <w:rFonts w:ascii="Times New Roman" w:hAnsi="Times New Roman" w:cs="Times New Roman"/>
          <w:sz w:val="24"/>
          <w:szCs w:val="24"/>
        </w:rPr>
        <w:t>programoch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8238B4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1 Plánovanie, manažment a</w:t>
      </w:r>
      <w:r>
        <w:rPr>
          <w:rFonts w:ascii="Times New Roman" w:hAnsi="Times New Roman" w:cs="Times New Roman"/>
          <w:sz w:val="24"/>
          <w:szCs w:val="24"/>
        </w:rPr>
        <w:t> kontrola – mzdy, odvody do poisťovní, členské príspevky, spoločná úradovňa, mierne navýšenie programu</w:t>
      </w:r>
    </w:p>
    <w:p w14:paraId="75C62A41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Propagácia a reklama – farebný </w:t>
      </w:r>
      <w:proofErr w:type="spellStart"/>
      <w:r>
        <w:rPr>
          <w:rFonts w:ascii="Times New Roman" w:hAnsi="Times New Roman" w:cs="Times New Roman"/>
          <w:sz w:val="24"/>
          <w:szCs w:val="24"/>
        </w:rPr>
        <w:t>sihelník</w:t>
      </w:r>
      <w:proofErr w:type="spellEnd"/>
      <w:r>
        <w:rPr>
          <w:rFonts w:ascii="Times New Roman" w:hAnsi="Times New Roman" w:cs="Times New Roman"/>
          <w:sz w:val="24"/>
          <w:szCs w:val="24"/>
        </w:rPr>
        <w:t>, knihy, propagačné predmety, mierne navýšenie programu</w:t>
      </w:r>
    </w:p>
    <w:p w14:paraId="4E4FE9C9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Interné služby – školenie, energie, výpočtová technika, licencie, provízia, preddavky, poistné prepravné, mierne navýšenie programu</w:t>
      </w:r>
    </w:p>
    <w:p w14:paraId="6AC8ACB1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Služby občanom – energie, vodné, plat VPP, kosenie, odvody do poisťovní, mierne navýšenie programu</w:t>
      </w:r>
    </w:p>
    <w:p w14:paraId="2F95F8FD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Bezpečnosť, právo a poriadok- energie, pracovné odevy,  obuv, verejné osvetlenie materiál, zníženie nákladov programu</w:t>
      </w:r>
    </w:p>
    <w:p w14:paraId="277DD0F6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Odpadové hospodárstvo – triedený zber poistenie, prepravné, uloženie odpadu, zvýšenie nákladov programu</w:t>
      </w:r>
    </w:p>
    <w:p w14:paraId="20C6390C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Komunikácie – všeobecný materiál, štrky, mierne zvýšenie programu</w:t>
      </w:r>
    </w:p>
    <w:p w14:paraId="6F87465E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Školstvo – mzdy, odvody do poisťovní, energie, pelety, plat z obnovy MŠ, osobný príplatok, vodné, stočné, výpočtová technika, interiérové vybavenie, knihy do CZŠ, poistenie, CZŠ špeciálne služby, osobné príplatky ŠJ, potraviny, záujmová činnosť, doprava autobusom, potraviny,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CZŠ družina- v tomto programe je nárast nákladov oproti roku 2023 o 155 152 €, výrazné zvýšenie programu</w:t>
      </w:r>
    </w:p>
    <w:p w14:paraId="33A36927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Šport – mzda, odvody do poisťovní, doprava, zníženie nákladov programu</w:t>
      </w:r>
    </w:p>
    <w:p w14:paraId="1F05D151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10 Kultúra</w:t>
      </w:r>
      <w:r>
        <w:rPr>
          <w:rFonts w:ascii="Times New Roman" w:hAnsi="Times New Roman" w:cs="Times New Roman"/>
          <w:sz w:val="24"/>
          <w:szCs w:val="24"/>
        </w:rPr>
        <w:t xml:space="preserve"> – mzda, odvody do poisťovní, kultúrne podujatia, energie, projekty, zníženie nákladov programu</w:t>
      </w:r>
    </w:p>
    <w:p w14:paraId="3D3BC33A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Prostredie pre život – energie, prepravné, špeciálne služby, mierne zníženie programu</w:t>
      </w:r>
    </w:p>
    <w:p w14:paraId="38BD67C1" w14:textId="77777777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Sociálne služby – nebolo výrazné navýšenie programu</w:t>
      </w:r>
    </w:p>
    <w:p w14:paraId="671AB549" w14:textId="5E2B3B2B" w:rsidR="00476083" w:rsidRDefault="00476083" w:rsidP="0047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13 A</w:t>
      </w:r>
      <w:r>
        <w:rPr>
          <w:rFonts w:ascii="Times New Roman" w:hAnsi="Times New Roman" w:cs="Times New Roman"/>
          <w:sz w:val="24"/>
          <w:szCs w:val="24"/>
        </w:rPr>
        <w:t>dministratíva – mzdy, odvody do poisťovní, osobný príplatok, odmeny, stravovanie, splácanie úrokov a ŠFRB, navýšenie programu</w:t>
      </w:r>
      <w:r w:rsidR="00F0588E">
        <w:rPr>
          <w:rFonts w:ascii="Times New Roman" w:hAnsi="Times New Roman" w:cs="Times New Roman"/>
          <w:sz w:val="24"/>
          <w:szCs w:val="24"/>
        </w:rPr>
        <w:t>.</w:t>
      </w:r>
    </w:p>
    <w:p w14:paraId="641D39A3" w14:textId="77777777" w:rsidR="00476083" w:rsidRDefault="00476083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5EEB7E" w14:textId="228CE156" w:rsidR="00F217A4" w:rsidRDefault="009677C2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b/>
          <w:sz w:val="24"/>
          <w:szCs w:val="24"/>
        </w:rPr>
        <w:t xml:space="preserve">V kapitálových výdavkoch </w:t>
      </w:r>
      <w:r w:rsidR="00390E19">
        <w:rPr>
          <w:rFonts w:ascii="Times New Roman" w:hAnsi="Times New Roman" w:cs="Times New Roman"/>
          <w:sz w:val="24"/>
          <w:szCs w:val="24"/>
        </w:rPr>
        <w:t>obec</w:t>
      </w:r>
      <w:r w:rsidR="00867797"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0F3BAB" w:rsidRPr="00CC0808">
        <w:rPr>
          <w:rFonts w:ascii="Times New Roman" w:hAnsi="Times New Roman" w:cs="Times New Roman"/>
          <w:sz w:val="24"/>
          <w:szCs w:val="24"/>
        </w:rPr>
        <w:t>predpokladá</w:t>
      </w:r>
      <w:r w:rsidR="00561170"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F0588E">
        <w:rPr>
          <w:rFonts w:ascii="Times New Roman" w:hAnsi="Times New Roman" w:cs="Times New Roman"/>
          <w:sz w:val="24"/>
          <w:szCs w:val="24"/>
        </w:rPr>
        <w:t>zníženie</w:t>
      </w:r>
      <w:r w:rsidR="00B87AFE">
        <w:rPr>
          <w:rFonts w:ascii="Times New Roman" w:hAnsi="Times New Roman" w:cs="Times New Roman"/>
          <w:sz w:val="24"/>
          <w:szCs w:val="24"/>
        </w:rPr>
        <w:t xml:space="preserve"> výdavkov </w:t>
      </w:r>
      <w:r w:rsidR="00BC7CE8">
        <w:rPr>
          <w:rFonts w:ascii="Times New Roman" w:hAnsi="Times New Roman" w:cs="Times New Roman"/>
          <w:sz w:val="24"/>
          <w:szCs w:val="24"/>
        </w:rPr>
        <w:t>v</w:t>
      </w:r>
      <w:r w:rsidR="00B87AFE">
        <w:rPr>
          <w:rFonts w:ascii="Times New Roman" w:hAnsi="Times New Roman" w:cs="Times New Roman"/>
          <w:sz w:val="24"/>
          <w:szCs w:val="24"/>
        </w:rPr>
        <w:t> </w:t>
      </w:r>
      <w:r w:rsidR="00AF6D2F">
        <w:rPr>
          <w:rFonts w:ascii="Times New Roman" w:hAnsi="Times New Roman" w:cs="Times New Roman"/>
          <w:sz w:val="24"/>
          <w:szCs w:val="24"/>
        </w:rPr>
        <w:t>sume</w:t>
      </w:r>
      <w:r w:rsidR="00B87AFE">
        <w:rPr>
          <w:rFonts w:ascii="Times New Roman" w:hAnsi="Times New Roman" w:cs="Times New Roman"/>
          <w:sz w:val="24"/>
          <w:szCs w:val="24"/>
        </w:rPr>
        <w:t xml:space="preserve"> </w:t>
      </w:r>
      <w:r w:rsidR="00F0588E" w:rsidRPr="00F0588E">
        <w:rPr>
          <w:rFonts w:ascii="Times New Roman" w:hAnsi="Times New Roman" w:cs="Times New Roman"/>
          <w:b/>
          <w:sz w:val="24"/>
          <w:szCs w:val="24"/>
        </w:rPr>
        <w:t>441 124</w:t>
      </w:r>
      <w:r w:rsidR="00B87AFE" w:rsidRPr="00F0588E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B87AFE">
        <w:rPr>
          <w:sz w:val="24"/>
          <w:szCs w:val="24"/>
        </w:rPr>
        <w:t xml:space="preserve"> </w:t>
      </w:r>
      <w:r w:rsidR="00B87AFE">
        <w:rPr>
          <w:rFonts w:ascii="Times New Roman" w:hAnsi="Times New Roman" w:cs="Times New Roman"/>
          <w:sz w:val="24"/>
          <w:szCs w:val="24"/>
        </w:rPr>
        <w:t xml:space="preserve"> </w:t>
      </w:r>
      <w:r w:rsidR="002D6D1F" w:rsidRPr="00CC0808">
        <w:rPr>
          <w:rFonts w:ascii="Times New Roman" w:hAnsi="Times New Roman" w:cs="Times New Roman"/>
          <w:sz w:val="24"/>
          <w:szCs w:val="24"/>
        </w:rPr>
        <w:t xml:space="preserve">oproti rozpočtu z </w:t>
      </w:r>
      <w:r w:rsidR="00BC7CE8">
        <w:rPr>
          <w:rFonts w:ascii="Times New Roman" w:hAnsi="Times New Roman" w:cs="Times New Roman"/>
          <w:sz w:val="24"/>
          <w:szCs w:val="24"/>
        </w:rPr>
        <w:t>roku 202</w:t>
      </w:r>
      <w:r w:rsidR="00476083">
        <w:rPr>
          <w:rFonts w:ascii="Times New Roman" w:hAnsi="Times New Roman" w:cs="Times New Roman"/>
          <w:sz w:val="24"/>
          <w:szCs w:val="24"/>
        </w:rPr>
        <w:t>3</w:t>
      </w:r>
      <w:r w:rsidR="006D5CBE" w:rsidRPr="00CC08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7D0170" w14:textId="77777777" w:rsidR="00532A2A" w:rsidRPr="00CC0808" w:rsidRDefault="00BB484F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V</w:t>
      </w:r>
      <w:r w:rsidR="00DC420F" w:rsidRPr="00CC0808">
        <w:rPr>
          <w:rFonts w:ascii="Times New Roman" w:hAnsi="Times New Roman" w:cs="Times New Roman"/>
          <w:sz w:val="24"/>
          <w:szCs w:val="24"/>
        </w:rPr>
        <w:t> kapitálo</w:t>
      </w:r>
      <w:r w:rsidRPr="00CC0808">
        <w:rPr>
          <w:rFonts w:ascii="Times New Roman" w:hAnsi="Times New Roman" w:cs="Times New Roman"/>
          <w:sz w:val="24"/>
          <w:szCs w:val="24"/>
        </w:rPr>
        <w:t>vo</w:t>
      </w:r>
      <w:r w:rsidR="00DC420F" w:rsidRPr="00CC0808">
        <w:rPr>
          <w:rFonts w:ascii="Times New Roman" w:hAnsi="Times New Roman" w:cs="Times New Roman"/>
          <w:sz w:val="24"/>
          <w:szCs w:val="24"/>
        </w:rPr>
        <w:t>m rozp</w:t>
      </w:r>
      <w:r w:rsidR="006F2221" w:rsidRPr="00CC0808">
        <w:rPr>
          <w:rFonts w:ascii="Times New Roman" w:hAnsi="Times New Roman" w:cs="Times New Roman"/>
          <w:sz w:val="24"/>
          <w:szCs w:val="24"/>
        </w:rPr>
        <w:t xml:space="preserve">očte sú zahrnuté </w:t>
      </w:r>
      <w:r w:rsidR="00925C2F" w:rsidRPr="00CC0808">
        <w:rPr>
          <w:rFonts w:ascii="Times New Roman" w:hAnsi="Times New Roman" w:cs="Times New Roman"/>
          <w:sz w:val="24"/>
          <w:szCs w:val="24"/>
        </w:rPr>
        <w:t xml:space="preserve">výdavky </w:t>
      </w:r>
      <w:r w:rsidRPr="00CC0808">
        <w:rPr>
          <w:rFonts w:ascii="Times New Roman" w:hAnsi="Times New Roman" w:cs="Times New Roman"/>
          <w:sz w:val="24"/>
          <w:szCs w:val="24"/>
        </w:rPr>
        <w:t>v</w:t>
      </w:r>
      <w:r w:rsidR="00F20BD8" w:rsidRPr="00CC0808">
        <w:rPr>
          <w:rFonts w:ascii="Times New Roman" w:hAnsi="Times New Roman" w:cs="Times New Roman"/>
          <w:sz w:val="24"/>
          <w:szCs w:val="24"/>
        </w:rPr>
        <w:t> </w:t>
      </w:r>
      <w:r w:rsidRPr="00CC0808">
        <w:rPr>
          <w:rFonts w:ascii="Times New Roman" w:hAnsi="Times New Roman" w:cs="Times New Roman"/>
          <w:sz w:val="24"/>
          <w:szCs w:val="24"/>
        </w:rPr>
        <w:t>programoch</w:t>
      </w:r>
      <w:r w:rsidR="00F20BD8" w:rsidRPr="00CC0808">
        <w:rPr>
          <w:rFonts w:ascii="Times New Roman" w:hAnsi="Times New Roman" w:cs="Times New Roman"/>
          <w:sz w:val="24"/>
          <w:szCs w:val="24"/>
        </w:rPr>
        <w:t>:</w:t>
      </w:r>
    </w:p>
    <w:p w14:paraId="0EACF62A" w14:textId="461A7A41" w:rsidR="00F217A4" w:rsidRPr="00CC0808" w:rsidRDefault="00BB484F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 xml:space="preserve">1 Plánovanie, manažment a kontrola </w:t>
      </w:r>
      <w:r w:rsidR="00532A2A" w:rsidRPr="00CC0808">
        <w:rPr>
          <w:rFonts w:ascii="Times New Roman" w:hAnsi="Times New Roman" w:cs="Times New Roman"/>
          <w:sz w:val="24"/>
          <w:szCs w:val="24"/>
        </w:rPr>
        <w:t>–</w:t>
      </w:r>
      <w:r w:rsidRPr="00CC0808">
        <w:rPr>
          <w:rFonts w:ascii="Times New Roman" w:hAnsi="Times New Roman" w:cs="Times New Roman"/>
          <w:sz w:val="24"/>
          <w:szCs w:val="24"/>
        </w:rPr>
        <w:t xml:space="preserve"> </w:t>
      </w:r>
      <w:r w:rsidR="00532A2A" w:rsidRPr="00CC0808">
        <w:rPr>
          <w:rFonts w:ascii="Times New Roman" w:hAnsi="Times New Roman" w:cs="Times New Roman"/>
          <w:sz w:val="24"/>
          <w:szCs w:val="24"/>
        </w:rPr>
        <w:t xml:space="preserve">časť platby za realizáciu územného </w:t>
      </w:r>
      <w:r w:rsidR="00F20BD8" w:rsidRPr="00CC0808">
        <w:rPr>
          <w:rFonts w:ascii="Times New Roman" w:hAnsi="Times New Roman" w:cs="Times New Roman"/>
          <w:sz w:val="24"/>
          <w:szCs w:val="24"/>
        </w:rPr>
        <w:t>plán</w:t>
      </w:r>
      <w:r w:rsidR="00532A2A" w:rsidRPr="00CC0808">
        <w:rPr>
          <w:rFonts w:ascii="Times New Roman" w:hAnsi="Times New Roman" w:cs="Times New Roman"/>
          <w:sz w:val="24"/>
          <w:szCs w:val="24"/>
        </w:rPr>
        <w:t>u</w:t>
      </w:r>
      <w:r w:rsidR="00B87AFE">
        <w:rPr>
          <w:rFonts w:ascii="Times New Roman" w:hAnsi="Times New Roman" w:cs="Times New Roman"/>
          <w:sz w:val="24"/>
          <w:szCs w:val="24"/>
        </w:rPr>
        <w:t>,</w:t>
      </w:r>
      <w:r w:rsidR="00F0588E">
        <w:rPr>
          <w:rFonts w:ascii="Times New Roman" w:hAnsi="Times New Roman" w:cs="Times New Roman"/>
          <w:sz w:val="24"/>
          <w:szCs w:val="24"/>
        </w:rPr>
        <w:t xml:space="preserve"> ak sa bude pokračovať.</w:t>
      </w:r>
    </w:p>
    <w:p w14:paraId="1C6C5FE2" w14:textId="77777777" w:rsidR="00F82892" w:rsidRDefault="00F82892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Interné služby – interiérové vybavenie, nákup výpočtovej techniky</w:t>
      </w:r>
    </w:p>
    <w:p w14:paraId="04A7248A" w14:textId="4C47508E" w:rsidR="00F217A4" w:rsidRDefault="00BB484F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 xml:space="preserve">4 Služby občanom – </w:t>
      </w:r>
      <w:r w:rsidR="00532A2A" w:rsidRPr="00CC0808">
        <w:rPr>
          <w:rFonts w:ascii="Times New Roman" w:hAnsi="Times New Roman" w:cs="Times New Roman"/>
          <w:sz w:val="24"/>
          <w:szCs w:val="24"/>
        </w:rPr>
        <w:t xml:space="preserve">predpokladaná </w:t>
      </w:r>
      <w:r w:rsidRPr="00CC0808">
        <w:rPr>
          <w:rFonts w:ascii="Times New Roman" w:hAnsi="Times New Roman" w:cs="Times New Roman"/>
          <w:sz w:val="24"/>
          <w:szCs w:val="24"/>
        </w:rPr>
        <w:t>rekon</w:t>
      </w:r>
      <w:r w:rsidR="00F20BD8" w:rsidRPr="00CC0808">
        <w:rPr>
          <w:rFonts w:ascii="Times New Roman" w:hAnsi="Times New Roman" w:cs="Times New Roman"/>
          <w:sz w:val="24"/>
          <w:szCs w:val="24"/>
        </w:rPr>
        <w:t xml:space="preserve">štrukcia </w:t>
      </w:r>
      <w:r w:rsidR="00326835">
        <w:rPr>
          <w:rFonts w:ascii="Times New Roman" w:hAnsi="Times New Roman" w:cs="Times New Roman"/>
          <w:sz w:val="24"/>
          <w:szCs w:val="24"/>
        </w:rPr>
        <w:t>strechy v BJ 485, rekonštrukcia, modernizácia</w:t>
      </w:r>
      <w:r w:rsidR="005B0C65">
        <w:rPr>
          <w:rFonts w:ascii="Times New Roman" w:hAnsi="Times New Roman" w:cs="Times New Roman"/>
          <w:sz w:val="24"/>
          <w:szCs w:val="24"/>
        </w:rPr>
        <w:t>, nákup pozemkov pod cintorín</w:t>
      </w:r>
      <w:bookmarkStart w:id="5" w:name="_GoBack"/>
      <w:bookmarkEnd w:id="5"/>
    </w:p>
    <w:p w14:paraId="1B3187E5" w14:textId="5D4262D4" w:rsidR="00532A2A" w:rsidRPr="00CC0808" w:rsidRDefault="00F217A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Bezpečnosť, právo a poriadok – </w:t>
      </w:r>
      <w:r w:rsidR="005B0C65">
        <w:rPr>
          <w:rFonts w:ascii="Times New Roman" w:hAnsi="Times New Roman" w:cs="Times New Roman"/>
          <w:sz w:val="24"/>
          <w:szCs w:val="24"/>
        </w:rPr>
        <w:t>nezmenené</w:t>
      </w:r>
    </w:p>
    <w:p w14:paraId="563713CA" w14:textId="14172372" w:rsidR="00F82892" w:rsidRDefault="00F82892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Odpadové hospodárstvo</w:t>
      </w:r>
      <w:r w:rsidR="00160D85">
        <w:rPr>
          <w:rFonts w:ascii="Times New Roman" w:hAnsi="Times New Roman" w:cs="Times New Roman"/>
          <w:sz w:val="24"/>
          <w:szCs w:val="24"/>
        </w:rPr>
        <w:t xml:space="preserve"> </w:t>
      </w:r>
      <w:r w:rsidR="00B87AFE">
        <w:rPr>
          <w:rFonts w:ascii="Times New Roman" w:hAnsi="Times New Roman" w:cs="Times New Roman"/>
          <w:sz w:val="24"/>
          <w:szCs w:val="24"/>
        </w:rPr>
        <w:t>–</w:t>
      </w:r>
      <w:r w:rsidR="00160D85">
        <w:rPr>
          <w:rFonts w:ascii="Times New Roman" w:hAnsi="Times New Roman" w:cs="Times New Roman"/>
          <w:sz w:val="24"/>
          <w:szCs w:val="24"/>
        </w:rPr>
        <w:t xml:space="preserve"> </w:t>
      </w:r>
      <w:r w:rsidR="00326835">
        <w:rPr>
          <w:rFonts w:ascii="Times New Roman" w:hAnsi="Times New Roman" w:cs="Times New Roman"/>
          <w:sz w:val="24"/>
          <w:szCs w:val="24"/>
        </w:rPr>
        <w:t>nebolo rozpočtované</w:t>
      </w:r>
    </w:p>
    <w:p w14:paraId="19FEFDAF" w14:textId="119AA9D9" w:rsidR="00532A2A" w:rsidRPr="00CC0808" w:rsidRDefault="00F20BD8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 xml:space="preserve">7 </w:t>
      </w:r>
      <w:r w:rsidR="00BB484F" w:rsidRPr="00CC0808">
        <w:rPr>
          <w:rFonts w:ascii="Times New Roman" w:hAnsi="Times New Roman" w:cs="Times New Roman"/>
          <w:sz w:val="24"/>
          <w:szCs w:val="24"/>
        </w:rPr>
        <w:t>Komunikácie</w:t>
      </w:r>
      <w:r w:rsidR="00F82892">
        <w:rPr>
          <w:rFonts w:ascii="Times New Roman" w:hAnsi="Times New Roman" w:cs="Times New Roman"/>
          <w:sz w:val="24"/>
          <w:szCs w:val="24"/>
        </w:rPr>
        <w:t xml:space="preserve"> – </w:t>
      </w:r>
      <w:r w:rsidR="00326835">
        <w:rPr>
          <w:rFonts w:ascii="Times New Roman" w:hAnsi="Times New Roman" w:cs="Times New Roman"/>
          <w:sz w:val="24"/>
          <w:szCs w:val="24"/>
        </w:rPr>
        <w:t>asfaltovanie cesty na ihrisko</w:t>
      </w:r>
    </w:p>
    <w:p w14:paraId="76CF7A96" w14:textId="492A4C7E" w:rsidR="00B95A75" w:rsidRDefault="00B95A75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Školstvo</w:t>
      </w:r>
      <w:r w:rsidR="00160D85">
        <w:rPr>
          <w:rFonts w:ascii="Times New Roman" w:hAnsi="Times New Roman" w:cs="Times New Roman"/>
          <w:sz w:val="24"/>
          <w:szCs w:val="24"/>
        </w:rPr>
        <w:t xml:space="preserve"> – </w:t>
      </w:r>
      <w:r w:rsidR="00326835">
        <w:rPr>
          <w:rFonts w:ascii="Times New Roman" w:hAnsi="Times New Roman" w:cs="Times New Roman"/>
          <w:sz w:val="24"/>
          <w:szCs w:val="24"/>
        </w:rPr>
        <w:t xml:space="preserve">nákup interiérového vybavenia MŠ, </w:t>
      </w:r>
    </w:p>
    <w:p w14:paraId="3F87FB80" w14:textId="649CFBDC" w:rsidR="00B95A75" w:rsidRDefault="00B95A75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Šport</w:t>
      </w:r>
      <w:r w:rsidR="00160D85">
        <w:rPr>
          <w:rFonts w:ascii="Times New Roman" w:hAnsi="Times New Roman" w:cs="Times New Roman"/>
          <w:sz w:val="24"/>
          <w:szCs w:val="24"/>
        </w:rPr>
        <w:t xml:space="preserve"> – položky</w:t>
      </w:r>
      <w:r w:rsidR="00326835">
        <w:rPr>
          <w:rFonts w:ascii="Times New Roman" w:hAnsi="Times New Roman" w:cs="Times New Roman"/>
          <w:sz w:val="24"/>
          <w:szCs w:val="24"/>
        </w:rPr>
        <w:t xml:space="preserve"> neboli rozpočtované</w:t>
      </w:r>
    </w:p>
    <w:p w14:paraId="6656D91F" w14:textId="5FD43CE7" w:rsidR="00BB484F" w:rsidRDefault="00F217A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Kultúra – </w:t>
      </w:r>
      <w:r w:rsidR="00B87AFE">
        <w:rPr>
          <w:rFonts w:ascii="Times New Roman" w:hAnsi="Times New Roman" w:cs="Times New Roman"/>
          <w:sz w:val="24"/>
          <w:szCs w:val="24"/>
        </w:rPr>
        <w:t>nákup interiérového vybavenia, rekonštrukcia a modernizácia KD</w:t>
      </w:r>
    </w:p>
    <w:p w14:paraId="2CD45D18" w14:textId="794CAF62" w:rsidR="0065765C" w:rsidRDefault="0065765C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6835">
        <w:rPr>
          <w:rFonts w:ascii="Times New Roman" w:hAnsi="Times New Roman" w:cs="Times New Roman"/>
          <w:sz w:val="24"/>
          <w:szCs w:val="24"/>
        </w:rPr>
        <w:t>3 Administratíva – položky neboli rozpočtované</w:t>
      </w:r>
    </w:p>
    <w:p w14:paraId="6A042B99" w14:textId="77777777" w:rsidR="0065765C" w:rsidRDefault="0065765C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96A2B" w14:textId="70B0DCB3" w:rsidR="00390E19" w:rsidRDefault="0092349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</w:t>
      </w:r>
      <w:r w:rsidR="0065765C">
        <w:rPr>
          <w:rFonts w:ascii="Times New Roman" w:hAnsi="Times New Roman" w:cs="Times New Roman"/>
          <w:b/>
          <w:sz w:val="24"/>
          <w:szCs w:val="24"/>
        </w:rPr>
        <w:t xml:space="preserve"> výdavkových finančných operáciách </w:t>
      </w:r>
      <w:r w:rsidR="006139B2">
        <w:rPr>
          <w:rFonts w:ascii="Times New Roman" w:hAnsi="Times New Roman" w:cs="Times New Roman"/>
          <w:sz w:val="24"/>
          <w:szCs w:val="24"/>
        </w:rPr>
        <w:t>obec predpokladá z</w:t>
      </w:r>
      <w:r w:rsidR="00747990">
        <w:rPr>
          <w:rFonts w:ascii="Times New Roman" w:hAnsi="Times New Roman" w:cs="Times New Roman"/>
          <w:sz w:val="24"/>
          <w:szCs w:val="24"/>
        </w:rPr>
        <w:t>výš</w:t>
      </w:r>
      <w:r w:rsidR="006139B2">
        <w:rPr>
          <w:rFonts w:ascii="Times New Roman" w:hAnsi="Times New Roman" w:cs="Times New Roman"/>
          <w:sz w:val="24"/>
          <w:szCs w:val="24"/>
        </w:rPr>
        <w:t>enie</w:t>
      </w:r>
      <w:r w:rsidR="00AF6D2F">
        <w:rPr>
          <w:rFonts w:ascii="Times New Roman" w:hAnsi="Times New Roman" w:cs="Times New Roman"/>
          <w:sz w:val="24"/>
          <w:szCs w:val="24"/>
        </w:rPr>
        <w:t xml:space="preserve"> v sume </w:t>
      </w:r>
      <w:r w:rsidR="00326835" w:rsidRPr="00326835">
        <w:rPr>
          <w:rFonts w:ascii="Times New Roman" w:hAnsi="Times New Roman" w:cs="Times New Roman"/>
          <w:b/>
          <w:bCs/>
          <w:sz w:val="24"/>
          <w:szCs w:val="24"/>
        </w:rPr>
        <w:t>5 321</w:t>
      </w:r>
      <w:r w:rsidR="00390E19" w:rsidRPr="00326835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="00390E19">
        <w:rPr>
          <w:rFonts w:ascii="Times New Roman" w:hAnsi="Times New Roman" w:cs="Times New Roman"/>
          <w:sz w:val="24"/>
          <w:szCs w:val="24"/>
        </w:rPr>
        <w:t xml:space="preserve"> oproti rozpočtu z </w:t>
      </w:r>
      <w:r w:rsidR="00AF6D2F">
        <w:rPr>
          <w:rFonts w:ascii="Times New Roman" w:hAnsi="Times New Roman" w:cs="Times New Roman"/>
          <w:bCs/>
          <w:sz w:val="24"/>
          <w:szCs w:val="24"/>
        </w:rPr>
        <w:t>roku 202</w:t>
      </w:r>
      <w:r w:rsidR="00326835">
        <w:rPr>
          <w:rFonts w:ascii="Times New Roman" w:hAnsi="Times New Roman" w:cs="Times New Roman"/>
          <w:bCs/>
          <w:sz w:val="24"/>
          <w:szCs w:val="24"/>
        </w:rPr>
        <w:t>3</w:t>
      </w:r>
      <w:r w:rsidR="00390E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292F13" w14:textId="2BBF4D08" w:rsidR="00747990" w:rsidRDefault="007E5D6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 finančných operáciách </w:t>
      </w:r>
      <w:r w:rsidRPr="00CC0808">
        <w:rPr>
          <w:rFonts w:ascii="Times New Roman" w:hAnsi="Times New Roman" w:cs="Times New Roman"/>
          <w:sz w:val="24"/>
          <w:szCs w:val="24"/>
        </w:rPr>
        <w:t>rozp</w:t>
      </w:r>
      <w:r>
        <w:rPr>
          <w:rFonts w:ascii="Times New Roman" w:hAnsi="Times New Roman" w:cs="Times New Roman"/>
          <w:sz w:val="24"/>
          <w:szCs w:val="24"/>
        </w:rPr>
        <w:t>očtu</w:t>
      </w:r>
      <w:r w:rsidRPr="00CC0808">
        <w:rPr>
          <w:rFonts w:ascii="Times New Roman" w:hAnsi="Times New Roman" w:cs="Times New Roman"/>
          <w:sz w:val="24"/>
          <w:szCs w:val="24"/>
        </w:rPr>
        <w:t xml:space="preserve"> sú zahrnuté výdavky v programoch:</w:t>
      </w:r>
    </w:p>
    <w:p w14:paraId="64FAFE1A" w14:textId="1FAAF86F" w:rsidR="00326835" w:rsidRPr="00326835" w:rsidRDefault="00326835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Školstvo – položky neboli rozpočtované</w:t>
      </w:r>
    </w:p>
    <w:p w14:paraId="43286234" w14:textId="17C81D18" w:rsidR="007E5D64" w:rsidRDefault="007E5D6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Kultúra – vrátenie finančnej zábezpeky</w:t>
      </w:r>
      <w:r w:rsidR="007479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4C45D8" w14:textId="4CAC8744" w:rsidR="007E5D64" w:rsidRDefault="007E5D6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 Administratíva – splátka úveru, ŠFRB/splátka úverov dlhodobých</w:t>
      </w:r>
    </w:p>
    <w:p w14:paraId="2C207152" w14:textId="77777777" w:rsidR="007E5D64" w:rsidRDefault="007E5D64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A82862" w14:textId="77777777" w:rsidR="00532A2A" w:rsidRPr="00CC0808" w:rsidRDefault="00532A2A" w:rsidP="006D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808">
        <w:rPr>
          <w:rFonts w:ascii="Times New Roman" w:hAnsi="Times New Roman" w:cs="Times New Roman"/>
          <w:b/>
          <w:bCs/>
          <w:sz w:val="24"/>
          <w:szCs w:val="24"/>
        </w:rPr>
        <w:t>E. ZÁVER</w:t>
      </w:r>
    </w:p>
    <w:p w14:paraId="15223064" w14:textId="77777777" w:rsidR="00593982" w:rsidRDefault="00593982" w:rsidP="00CC0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7184F" w14:textId="083EC4AA" w:rsidR="00CC0808" w:rsidRPr="00CC0808" w:rsidRDefault="00CC0808" w:rsidP="00CC0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Návrh programového ro</w:t>
      </w:r>
      <w:r w:rsidR="007E5D64">
        <w:rPr>
          <w:rFonts w:ascii="Times New Roman" w:hAnsi="Times New Roman" w:cs="Times New Roman"/>
          <w:sz w:val="24"/>
          <w:szCs w:val="24"/>
        </w:rPr>
        <w:t>zpočtu obce Sihelné na roky 202</w:t>
      </w:r>
      <w:r w:rsidR="00326835">
        <w:rPr>
          <w:rFonts w:ascii="Times New Roman" w:hAnsi="Times New Roman" w:cs="Times New Roman"/>
          <w:sz w:val="24"/>
          <w:szCs w:val="24"/>
        </w:rPr>
        <w:t>4</w:t>
      </w:r>
      <w:r w:rsidR="007E5D64">
        <w:rPr>
          <w:rFonts w:ascii="Times New Roman" w:hAnsi="Times New Roman" w:cs="Times New Roman"/>
          <w:sz w:val="24"/>
          <w:szCs w:val="24"/>
        </w:rPr>
        <w:t xml:space="preserve"> – 202</w:t>
      </w:r>
      <w:r w:rsidR="00326835">
        <w:rPr>
          <w:rFonts w:ascii="Times New Roman" w:hAnsi="Times New Roman" w:cs="Times New Roman"/>
          <w:sz w:val="24"/>
          <w:szCs w:val="24"/>
        </w:rPr>
        <w:t>6</w:t>
      </w:r>
      <w:r w:rsidRPr="00CC0808">
        <w:rPr>
          <w:rFonts w:ascii="Times New Roman" w:hAnsi="Times New Roman" w:cs="Times New Roman"/>
          <w:sz w:val="24"/>
          <w:szCs w:val="24"/>
        </w:rPr>
        <w:t xml:space="preserve"> je spracovaný v súlade so</w:t>
      </w:r>
    </w:p>
    <w:p w14:paraId="345C8071" w14:textId="77777777" w:rsidR="00CC0808" w:rsidRPr="00CC0808" w:rsidRDefault="00CC0808" w:rsidP="00CC0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808">
        <w:rPr>
          <w:rFonts w:ascii="Times New Roman" w:hAnsi="Times New Roman" w:cs="Times New Roman"/>
          <w:sz w:val="24"/>
          <w:szCs w:val="24"/>
        </w:rPr>
        <w:t>všeobecne záväznými právnymi predpismi – zákonom č. 523/2004 Z. z. o rozpočtových pravidlách verejnej správy a o zmene a doplnení niektorých zákonov v znení neskorších predpisov a zákonom č. 583/2004 Z. z. o rozpočtových pravidlách územnej samosprávy a o zmene a doplnení niektorých zákonov v znení neskorších predpisov.</w:t>
      </w:r>
    </w:p>
    <w:p w14:paraId="5BB83E8C" w14:textId="3D2F60DA" w:rsidR="00CC0808" w:rsidRPr="00CC0808" w:rsidRDefault="00CC0808" w:rsidP="00CC0808">
      <w:pPr>
        <w:pStyle w:val="Default"/>
      </w:pPr>
      <w:r w:rsidRPr="00CC0808">
        <w:t>Návrh rozpočtu</w:t>
      </w:r>
      <w:r w:rsidR="007E5D64">
        <w:t xml:space="preserve"> bol verejne sprístupnený dňa </w:t>
      </w:r>
      <w:r w:rsidR="007E69D1" w:rsidRPr="00432216">
        <w:t>1</w:t>
      </w:r>
      <w:r w:rsidR="00326835">
        <w:t>7</w:t>
      </w:r>
      <w:r w:rsidRPr="00432216">
        <w:t>.</w:t>
      </w:r>
      <w:r w:rsidR="00734834" w:rsidRPr="00432216">
        <w:t xml:space="preserve"> </w:t>
      </w:r>
      <w:r w:rsidR="007E5D64" w:rsidRPr="00432216">
        <w:t>1</w:t>
      </w:r>
      <w:r w:rsidR="007E69D1" w:rsidRPr="00432216">
        <w:t>1</w:t>
      </w:r>
      <w:r w:rsidR="007E5D64" w:rsidRPr="00432216">
        <w:t>. 202</w:t>
      </w:r>
      <w:r w:rsidR="00326835">
        <w:t>3</w:t>
      </w:r>
      <w:r w:rsidRPr="00432216">
        <w:t>,</w:t>
      </w:r>
      <w:r w:rsidRPr="00CC0808">
        <w:t xml:space="preserve"> spôsobom obvyklým (úradná tabuľa, internet) v zákonom stanovenej lehote, </w:t>
      </w:r>
      <w:proofErr w:type="spellStart"/>
      <w:r w:rsidRPr="00CC0808">
        <w:t>t.j</w:t>
      </w:r>
      <w:proofErr w:type="spellEnd"/>
      <w:r w:rsidRPr="00CC0808">
        <w:t>. 15 dní pred jeho schválením v súlade s § 9 ods. 2 zákona SNR č. 369/1990 Zb. o obecnom zriadení, v znení neskorších zmien a doplnkov.</w:t>
      </w:r>
    </w:p>
    <w:p w14:paraId="46447659" w14:textId="3986BAD2" w:rsidR="00CC0808" w:rsidRPr="00CC0808" w:rsidRDefault="00CC0808" w:rsidP="00CC0808">
      <w:pPr>
        <w:pStyle w:val="Default"/>
        <w:ind w:firstLine="708"/>
      </w:pPr>
      <w:r w:rsidRPr="00CC0808">
        <w:rPr>
          <w:bCs/>
        </w:rPr>
        <w:t>Na základe uvedených skutočností</w:t>
      </w:r>
      <w:r w:rsidRPr="00CC0808">
        <w:rPr>
          <w:b/>
          <w:bCs/>
        </w:rPr>
        <w:t xml:space="preserve"> odporúčam </w:t>
      </w:r>
      <w:r w:rsidRPr="00CC0808">
        <w:rPr>
          <w:bCs/>
        </w:rPr>
        <w:t>obecnému zastupiteľstvu</w:t>
      </w:r>
      <w:r w:rsidRPr="00CC0808">
        <w:rPr>
          <w:b/>
          <w:bCs/>
        </w:rPr>
        <w:t xml:space="preserve"> predl</w:t>
      </w:r>
      <w:r w:rsidR="007E5D64">
        <w:rPr>
          <w:b/>
          <w:bCs/>
        </w:rPr>
        <w:t>ožený návrh rozpočtu na rok 202</w:t>
      </w:r>
      <w:r w:rsidR="00222FD8">
        <w:rPr>
          <w:b/>
          <w:bCs/>
        </w:rPr>
        <w:t>4</w:t>
      </w:r>
      <w:r w:rsidRPr="00CC0808">
        <w:rPr>
          <w:b/>
          <w:bCs/>
        </w:rPr>
        <w:t xml:space="preserve"> schváliť a návrh Pr</w:t>
      </w:r>
      <w:r w:rsidR="008C31DB">
        <w:rPr>
          <w:b/>
          <w:bCs/>
        </w:rPr>
        <w:t>ogramového rozpočtu na rok</w:t>
      </w:r>
      <w:r w:rsidR="007E5D64">
        <w:rPr>
          <w:b/>
          <w:bCs/>
        </w:rPr>
        <w:t>y 202</w:t>
      </w:r>
      <w:r w:rsidR="00222FD8">
        <w:rPr>
          <w:b/>
          <w:bCs/>
        </w:rPr>
        <w:t>5</w:t>
      </w:r>
      <w:r w:rsidR="0026339F">
        <w:rPr>
          <w:b/>
          <w:bCs/>
        </w:rPr>
        <w:t xml:space="preserve"> </w:t>
      </w:r>
      <w:r w:rsidR="007E5D64">
        <w:rPr>
          <w:b/>
          <w:bCs/>
        </w:rPr>
        <w:t>-202</w:t>
      </w:r>
      <w:r w:rsidR="00222FD8">
        <w:rPr>
          <w:b/>
          <w:bCs/>
        </w:rPr>
        <w:t>6</w:t>
      </w:r>
      <w:r w:rsidRPr="00CC0808">
        <w:rPr>
          <w:b/>
          <w:bCs/>
        </w:rPr>
        <w:t xml:space="preserve"> zobrať na vedomie.</w:t>
      </w:r>
    </w:p>
    <w:p w14:paraId="16818C13" w14:textId="0CA0B8AA" w:rsidR="005B3040" w:rsidRPr="00CC0808" w:rsidRDefault="005B3040" w:rsidP="005B3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808">
        <w:rPr>
          <w:rFonts w:ascii="Times New Roman" w:eastAsia="Times New Roman" w:hAnsi="Times New Roman" w:cs="Times New Roman"/>
          <w:sz w:val="24"/>
          <w:szCs w:val="24"/>
        </w:rPr>
        <w:t xml:space="preserve">V Sihelnom </w:t>
      </w:r>
      <w:r w:rsidR="00FF151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D55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0D85">
        <w:rPr>
          <w:rFonts w:ascii="Times New Roman" w:eastAsia="Times New Roman" w:hAnsi="Times New Roman" w:cs="Times New Roman"/>
          <w:sz w:val="24"/>
          <w:szCs w:val="24"/>
        </w:rPr>
        <w:t xml:space="preserve"> november </w:t>
      </w:r>
      <w:r w:rsidR="007E5D6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22F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8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2E773EC" w14:textId="77777777" w:rsidR="005B3040" w:rsidRPr="00CC0808" w:rsidRDefault="00B2710D" w:rsidP="00B2710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08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Bc. </w:t>
      </w:r>
      <w:r w:rsidR="005B3040" w:rsidRPr="00CC0808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="005B3040" w:rsidRPr="00CC0808">
        <w:rPr>
          <w:rFonts w:ascii="Times New Roman" w:eastAsia="Times New Roman" w:hAnsi="Times New Roman" w:cs="Times New Roman"/>
          <w:sz w:val="24"/>
          <w:szCs w:val="24"/>
        </w:rPr>
        <w:t>Luscoňová</w:t>
      </w:r>
      <w:proofErr w:type="spellEnd"/>
      <w:r w:rsidR="005B3040" w:rsidRPr="00CC080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Pr="00CC080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B3040" w:rsidRPr="00CC0808">
        <w:rPr>
          <w:rFonts w:ascii="Times New Roman" w:eastAsia="Times New Roman" w:hAnsi="Times New Roman" w:cs="Times New Roman"/>
          <w:sz w:val="24"/>
          <w:szCs w:val="24"/>
        </w:rPr>
        <w:t xml:space="preserve"> kontrolór obce</w:t>
      </w:r>
    </w:p>
    <w:p w14:paraId="0456CEFF" w14:textId="77777777" w:rsidR="005B3040" w:rsidRPr="00CC0808" w:rsidRDefault="005B3040" w:rsidP="00B27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FD134" w14:textId="77777777" w:rsidR="00CE002B" w:rsidRDefault="00CE002B" w:rsidP="00B2710D">
      <w:pPr>
        <w:spacing w:after="0"/>
        <w:jc w:val="center"/>
      </w:pPr>
    </w:p>
    <w:sectPr w:rsidR="00CE002B" w:rsidSect="00DB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E0269" w14:textId="77777777" w:rsidR="00B73BEB" w:rsidRDefault="00B73BEB" w:rsidP="00867797">
      <w:pPr>
        <w:spacing w:after="0" w:line="240" w:lineRule="auto"/>
      </w:pPr>
      <w:r>
        <w:separator/>
      </w:r>
    </w:p>
  </w:endnote>
  <w:endnote w:type="continuationSeparator" w:id="0">
    <w:p w14:paraId="7D0E60FD" w14:textId="77777777" w:rsidR="00B73BEB" w:rsidRDefault="00B73BEB" w:rsidP="0086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574B0" w14:textId="77777777" w:rsidR="00B73BEB" w:rsidRDefault="00B73BEB" w:rsidP="00867797">
      <w:pPr>
        <w:spacing w:after="0" w:line="240" w:lineRule="auto"/>
      </w:pPr>
      <w:r>
        <w:separator/>
      </w:r>
    </w:p>
  </w:footnote>
  <w:footnote w:type="continuationSeparator" w:id="0">
    <w:p w14:paraId="53CBEA95" w14:textId="77777777" w:rsidR="00B73BEB" w:rsidRDefault="00B73BEB" w:rsidP="0086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C6AF1"/>
    <w:multiLevelType w:val="hybridMultilevel"/>
    <w:tmpl w:val="5F607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C72"/>
    <w:multiLevelType w:val="hybridMultilevel"/>
    <w:tmpl w:val="BD54E8A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EE2C23"/>
    <w:multiLevelType w:val="hybridMultilevel"/>
    <w:tmpl w:val="7C1EF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40"/>
    <w:rsid w:val="00001800"/>
    <w:rsid w:val="00007723"/>
    <w:rsid w:val="000115B0"/>
    <w:rsid w:val="000120CB"/>
    <w:rsid w:val="0001216A"/>
    <w:rsid w:val="000264AE"/>
    <w:rsid w:val="00050240"/>
    <w:rsid w:val="000903DE"/>
    <w:rsid w:val="000A74DA"/>
    <w:rsid w:val="000B37F1"/>
    <w:rsid w:val="000B59DE"/>
    <w:rsid w:val="000D1F54"/>
    <w:rsid w:val="000F3BAB"/>
    <w:rsid w:val="0010552B"/>
    <w:rsid w:val="00105E55"/>
    <w:rsid w:val="001159A6"/>
    <w:rsid w:val="00121CFF"/>
    <w:rsid w:val="00121EBA"/>
    <w:rsid w:val="00123CFA"/>
    <w:rsid w:val="00130C0B"/>
    <w:rsid w:val="00142C5C"/>
    <w:rsid w:val="0014567F"/>
    <w:rsid w:val="00160D85"/>
    <w:rsid w:val="00175F9C"/>
    <w:rsid w:val="0017795B"/>
    <w:rsid w:val="00190A9F"/>
    <w:rsid w:val="00191357"/>
    <w:rsid w:val="001B42BB"/>
    <w:rsid w:val="001C08B1"/>
    <w:rsid w:val="001C15F7"/>
    <w:rsid w:val="001C45AD"/>
    <w:rsid w:val="001D551B"/>
    <w:rsid w:val="00222FD8"/>
    <w:rsid w:val="0023428B"/>
    <w:rsid w:val="002557DB"/>
    <w:rsid w:val="002571CF"/>
    <w:rsid w:val="0026339F"/>
    <w:rsid w:val="0027375F"/>
    <w:rsid w:val="0028239F"/>
    <w:rsid w:val="002862AA"/>
    <w:rsid w:val="00292545"/>
    <w:rsid w:val="002A3E95"/>
    <w:rsid w:val="002B39BD"/>
    <w:rsid w:val="002B6CE3"/>
    <w:rsid w:val="002D6D1F"/>
    <w:rsid w:val="002F0904"/>
    <w:rsid w:val="002F0B38"/>
    <w:rsid w:val="002F24FF"/>
    <w:rsid w:val="00321362"/>
    <w:rsid w:val="00326835"/>
    <w:rsid w:val="00330608"/>
    <w:rsid w:val="00345E07"/>
    <w:rsid w:val="00346757"/>
    <w:rsid w:val="00353258"/>
    <w:rsid w:val="00354CF6"/>
    <w:rsid w:val="00383364"/>
    <w:rsid w:val="00390E19"/>
    <w:rsid w:val="003A77A2"/>
    <w:rsid w:val="003B6A48"/>
    <w:rsid w:val="003D1B4A"/>
    <w:rsid w:val="003D5849"/>
    <w:rsid w:val="003D5C6F"/>
    <w:rsid w:val="003E692F"/>
    <w:rsid w:val="00403AFC"/>
    <w:rsid w:val="004057BE"/>
    <w:rsid w:val="00406B15"/>
    <w:rsid w:val="0042448D"/>
    <w:rsid w:val="00432216"/>
    <w:rsid w:val="004341C0"/>
    <w:rsid w:val="004716DE"/>
    <w:rsid w:val="00476083"/>
    <w:rsid w:val="00477F0C"/>
    <w:rsid w:val="004949E9"/>
    <w:rsid w:val="00496511"/>
    <w:rsid w:val="004A2B74"/>
    <w:rsid w:val="004D1AD0"/>
    <w:rsid w:val="004F15B3"/>
    <w:rsid w:val="004F381B"/>
    <w:rsid w:val="00506D40"/>
    <w:rsid w:val="005258D1"/>
    <w:rsid w:val="005261BB"/>
    <w:rsid w:val="00532A2A"/>
    <w:rsid w:val="00553611"/>
    <w:rsid w:val="005536B2"/>
    <w:rsid w:val="00561170"/>
    <w:rsid w:val="00584E51"/>
    <w:rsid w:val="0059297B"/>
    <w:rsid w:val="00593982"/>
    <w:rsid w:val="005A29C9"/>
    <w:rsid w:val="005A33D2"/>
    <w:rsid w:val="005A6188"/>
    <w:rsid w:val="005B0C65"/>
    <w:rsid w:val="005B3040"/>
    <w:rsid w:val="005C321D"/>
    <w:rsid w:val="005C367B"/>
    <w:rsid w:val="005F203B"/>
    <w:rsid w:val="005F7852"/>
    <w:rsid w:val="0060395D"/>
    <w:rsid w:val="006139B2"/>
    <w:rsid w:val="006461F7"/>
    <w:rsid w:val="00655F89"/>
    <w:rsid w:val="0065765C"/>
    <w:rsid w:val="0067400D"/>
    <w:rsid w:val="00683D75"/>
    <w:rsid w:val="006A7F54"/>
    <w:rsid w:val="006B7E37"/>
    <w:rsid w:val="006C5BA2"/>
    <w:rsid w:val="006D0487"/>
    <w:rsid w:val="006D4CB5"/>
    <w:rsid w:val="006D5CBE"/>
    <w:rsid w:val="006D5FC4"/>
    <w:rsid w:val="006F2221"/>
    <w:rsid w:val="00712267"/>
    <w:rsid w:val="00732CFF"/>
    <w:rsid w:val="00734834"/>
    <w:rsid w:val="00747990"/>
    <w:rsid w:val="00750EB6"/>
    <w:rsid w:val="007679B4"/>
    <w:rsid w:val="007752E9"/>
    <w:rsid w:val="00786282"/>
    <w:rsid w:val="007A0183"/>
    <w:rsid w:val="007A4081"/>
    <w:rsid w:val="007A63A9"/>
    <w:rsid w:val="007A729C"/>
    <w:rsid w:val="007E5D64"/>
    <w:rsid w:val="007E69D1"/>
    <w:rsid w:val="00834472"/>
    <w:rsid w:val="00842D1A"/>
    <w:rsid w:val="00867797"/>
    <w:rsid w:val="0087171F"/>
    <w:rsid w:val="00893D49"/>
    <w:rsid w:val="008A3F25"/>
    <w:rsid w:val="008A4CCB"/>
    <w:rsid w:val="008C31DB"/>
    <w:rsid w:val="008E419C"/>
    <w:rsid w:val="009129DB"/>
    <w:rsid w:val="00921878"/>
    <w:rsid w:val="00923494"/>
    <w:rsid w:val="00925C2F"/>
    <w:rsid w:val="009260E2"/>
    <w:rsid w:val="00930387"/>
    <w:rsid w:val="00935753"/>
    <w:rsid w:val="00936A91"/>
    <w:rsid w:val="0093700B"/>
    <w:rsid w:val="009677C2"/>
    <w:rsid w:val="00975188"/>
    <w:rsid w:val="00996F74"/>
    <w:rsid w:val="009A1332"/>
    <w:rsid w:val="009B39EB"/>
    <w:rsid w:val="009D755D"/>
    <w:rsid w:val="00A02350"/>
    <w:rsid w:val="00A120F2"/>
    <w:rsid w:val="00A16380"/>
    <w:rsid w:val="00A66948"/>
    <w:rsid w:val="00A71C08"/>
    <w:rsid w:val="00A91827"/>
    <w:rsid w:val="00A96CE0"/>
    <w:rsid w:val="00AA3669"/>
    <w:rsid w:val="00AB18BF"/>
    <w:rsid w:val="00AD3D4A"/>
    <w:rsid w:val="00AF6D2F"/>
    <w:rsid w:val="00AF716E"/>
    <w:rsid w:val="00B063CE"/>
    <w:rsid w:val="00B2710D"/>
    <w:rsid w:val="00B34514"/>
    <w:rsid w:val="00B345FF"/>
    <w:rsid w:val="00B5347A"/>
    <w:rsid w:val="00B558AC"/>
    <w:rsid w:val="00B73BEB"/>
    <w:rsid w:val="00B80A7E"/>
    <w:rsid w:val="00B86B39"/>
    <w:rsid w:val="00B87AFE"/>
    <w:rsid w:val="00B951DD"/>
    <w:rsid w:val="00B95A75"/>
    <w:rsid w:val="00BB2462"/>
    <w:rsid w:val="00BB465F"/>
    <w:rsid w:val="00BB484F"/>
    <w:rsid w:val="00BB507F"/>
    <w:rsid w:val="00BC7CE8"/>
    <w:rsid w:val="00BD3126"/>
    <w:rsid w:val="00BD4FFA"/>
    <w:rsid w:val="00BF0E0B"/>
    <w:rsid w:val="00C15D8D"/>
    <w:rsid w:val="00C21648"/>
    <w:rsid w:val="00C34D6D"/>
    <w:rsid w:val="00C375F6"/>
    <w:rsid w:val="00C42676"/>
    <w:rsid w:val="00C53037"/>
    <w:rsid w:val="00C61D6D"/>
    <w:rsid w:val="00C71CBD"/>
    <w:rsid w:val="00C81030"/>
    <w:rsid w:val="00C82DB4"/>
    <w:rsid w:val="00CB3A43"/>
    <w:rsid w:val="00CC0808"/>
    <w:rsid w:val="00CC63F2"/>
    <w:rsid w:val="00CC76D9"/>
    <w:rsid w:val="00CD11FC"/>
    <w:rsid w:val="00CD3FA2"/>
    <w:rsid w:val="00CE002B"/>
    <w:rsid w:val="00D0045E"/>
    <w:rsid w:val="00D2351A"/>
    <w:rsid w:val="00D37954"/>
    <w:rsid w:val="00D50180"/>
    <w:rsid w:val="00D5116E"/>
    <w:rsid w:val="00D51D4A"/>
    <w:rsid w:val="00D55792"/>
    <w:rsid w:val="00D61B8A"/>
    <w:rsid w:val="00D64141"/>
    <w:rsid w:val="00D706B8"/>
    <w:rsid w:val="00D90AD0"/>
    <w:rsid w:val="00DA4563"/>
    <w:rsid w:val="00DA625C"/>
    <w:rsid w:val="00DB04C8"/>
    <w:rsid w:val="00DB5DF1"/>
    <w:rsid w:val="00DB639E"/>
    <w:rsid w:val="00DB76AF"/>
    <w:rsid w:val="00DC1052"/>
    <w:rsid w:val="00DC420F"/>
    <w:rsid w:val="00DC70DF"/>
    <w:rsid w:val="00DE2284"/>
    <w:rsid w:val="00DF0581"/>
    <w:rsid w:val="00E10973"/>
    <w:rsid w:val="00E24DFA"/>
    <w:rsid w:val="00E445F6"/>
    <w:rsid w:val="00E5339A"/>
    <w:rsid w:val="00E85A4B"/>
    <w:rsid w:val="00EC16AC"/>
    <w:rsid w:val="00EC4675"/>
    <w:rsid w:val="00EC6FE6"/>
    <w:rsid w:val="00ED585B"/>
    <w:rsid w:val="00EF4EFA"/>
    <w:rsid w:val="00F0588E"/>
    <w:rsid w:val="00F14F3F"/>
    <w:rsid w:val="00F20BD8"/>
    <w:rsid w:val="00F217A4"/>
    <w:rsid w:val="00F22404"/>
    <w:rsid w:val="00F23371"/>
    <w:rsid w:val="00F37F12"/>
    <w:rsid w:val="00F75BEA"/>
    <w:rsid w:val="00F77501"/>
    <w:rsid w:val="00F82892"/>
    <w:rsid w:val="00F87F89"/>
    <w:rsid w:val="00FA018B"/>
    <w:rsid w:val="00FB3010"/>
    <w:rsid w:val="00FC5B62"/>
    <w:rsid w:val="00FD0B34"/>
    <w:rsid w:val="00FD1790"/>
    <w:rsid w:val="00FE5CBF"/>
    <w:rsid w:val="00FF151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CA51"/>
  <w15:docId w15:val="{967A273C-AC31-4A82-8F42-902E7377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04C8"/>
  </w:style>
  <w:style w:type="paragraph" w:styleId="Nadpis1">
    <w:name w:val="heading 1"/>
    <w:basedOn w:val="Normlny"/>
    <w:next w:val="Normlny"/>
    <w:link w:val="Nadpis1Char"/>
    <w:uiPriority w:val="9"/>
    <w:qFormat/>
    <w:rsid w:val="00E44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B3040"/>
    <w:pPr>
      <w:ind w:left="720"/>
      <w:contextualSpacing/>
    </w:pPr>
    <w:rPr>
      <w:rFonts w:eastAsiaTheme="minorHAnsi"/>
      <w:lang w:eastAsia="en-US"/>
    </w:rPr>
  </w:style>
  <w:style w:type="paragraph" w:styleId="Zkladntext2">
    <w:name w:val="Body Text 2"/>
    <w:basedOn w:val="Normlny"/>
    <w:link w:val="Zkladntext2Char"/>
    <w:uiPriority w:val="99"/>
    <w:rsid w:val="005B3040"/>
    <w:pPr>
      <w:shd w:val="clear" w:color="auto" w:fill="C0C0C0"/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B3040"/>
    <w:rPr>
      <w:rFonts w:ascii="Times New Roman" w:eastAsia="Times New Roman" w:hAnsi="Times New Roman" w:cs="Times New Roman"/>
      <w:b/>
      <w:sz w:val="32"/>
      <w:szCs w:val="20"/>
      <w:u w:val="single"/>
      <w:shd w:val="clear" w:color="auto" w:fill="C0C0C0"/>
      <w:lang w:eastAsia="cs-CZ"/>
    </w:rPr>
  </w:style>
  <w:style w:type="table" w:styleId="Mriekatabuky">
    <w:name w:val="Table Grid"/>
    <w:basedOn w:val="Normlnatabuka"/>
    <w:uiPriority w:val="99"/>
    <w:rsid w:val="005B3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44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semiHidden/>
    <w:unhideWhenUsed/>
    <w:rsid w:val="0086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67797"/>
  </w:style>
  <w:style w:type="paragraph" w:styleId="Pta">
    <w:name w:val="footer"/>
    <w:basedOn w:val="Normlny"/>
    <w:link w:val="PtaChar"/>
    <w:uiPriority w:val="99"/>
    <w:semiHidden/>
    <w:unhideWhenUsed/>
    <w:rsid w:val="0086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67797"/>
  </w:style>
  <w:style w:type="paragraph" w:customStyle="1" w:styleId="Default">
    <w:name w:val="Default"/>
    <w:rsid w:val="00A96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47</cp:revision>
  <cp:lastPrinted>2016-09-22T07:31:00Z</cp:lastPrinted>
  <dcterms:created xsi:type="dcterms:W3CDTF">2013-11-19T09:23:00Z</dcterms:created>
  <dcterms:modified xsi:type="dcterms:W3CDTF">2023-12-05T09:52:00Z</dcterms:modified>
</cp:coreProperties>
</file>